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1312;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川林资许准（乐）〔2024〕99号</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沐川县阳瑞养殖场项目</w:t>
      </w:r>
      <w:r>
        <w:rPr>
          <w:rFonts w:hint="default" w:ascii="Times New Roman" w:hAnsi="Times New Roman" w:eastAsia="方正小标宋_GBK" w:cs="Times New Roman"/>
          <w:b w:val="0"/>
          <w:bCs w:val="0"/>
          <w:color w:val="auto"/>
          <w:w w:val="100"/>
          <w:sz w:val="44"/>
          <w:szCs w:val="44"/>
          <w:lang w:val="en-US" w:eastAsia="zh-CN"/>
        </w:rPr>
        <w:t>占用</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0" w:firstLineChars="0"/>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沐川县阳瑞养殖场</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640" w:firstLineChars="200"/>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keepNext w:val="0"/>
        <w:keepLines w:val="0"/>
        <w:pageBreakBefore w:val="0"/>
        <w:numPr>
          <w:ilvl w:val="0"/>
          <w:numId w:val="0"/>
        </w:numPr>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一、</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准予“沐川县阳瑞养殖场项目”（项目代码：川投资备【2406-511129-04-01-443973】FGQB-0059号）占用乐山市林地0.0302公顷。按林地权属划分，国有0公顷、集体0.0302公顷；按行政区域划分，沐川县0.0302公顷（富新镇0.0302公顷）。项目</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占用林地的具体位置、面积和用途，须与经审核上报的《沐川县阳瑞养殖场项目使用林地现状调查表》一致。若准予的面积与全省新一轮林地保护利用规划的法定林地数据不一致，你单位须及时办理相关变更手续。</w:t>
      </w:r>
    </w:p>
    <w:p>
      <w:pPr>
        <w:keepNext w:val="0"/>
        <w:keepLines w:val="0"/>
        <w:pageBreakBefore w:val="0"/>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 w:hAnsi="仿宋" w:eastAsia="仿宋" w:cs="仿宋"/>
          <w:color w:val="000000" w:themeColor="text1"/>
          <w:sz w:val="32"/>
          <w:szCs w:val="32"/>
          <w:u w:val="none"/>
          <w14:textFill>
            <w14:solidFill>
              <w14:schemeClr w14:val="tx1"/>
            </w14:solidFill>
          </w14:textFill>
        </w:rPr>
      </w:pPr>
      <w:bookmarkStart w:id="0" w:name="_GoBack"/>
      <w:bookmarkEnd w:id="0"/>
      <w:r>
        <w:rPr>
          <w:rFonts w:hint="eastAsia" w:ascii="仿宋" w:hAnsi="仿宋" w:eastAsia="仿宋" w:cs="仿宋"/>
          <w:color w:val="000000" w:themeColor="text1"/>
          <w:sz w:val="32"/>
          <w:szCs w:val="32"/>
          <w:u w:val="none"/>
          <w:lang w:val="en-US" w:eastAsia="zh-CN"/>
          <w14:textFill>
            <w14:solidFill>
              <w14:schemeClr w14:val="tx1"/>
            </w14:solidFill>
          </w14:textFill>
        </w:rPr>
        <w:t>二</w:t>
      </w:r>
      <w:r>
        <w:rPr>
          <w:rFonts w:hint="eastAsia" w:ascii="仿宋" w:hAnsi="仿宋" w:eastAsia="仿宋" w:cs="仿宋"/>
          <w:color w:val="000000" w:themeColor="text1"/>
          <w:sz w:val="32"/>
          <w:szCs w:val="32"/>
          <w:u w:val="none"/>
          <w14:textFill>
            <w14:solidFill>
              <w14:schemeClr w14:val="tx1"/>
            </w14:solidFill>
          </w14:textFill>
        </w:rPr>
        <w:t>、你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单位</w:t>
      </w:r>
      <w:r>
        <w:rPr>
          <w:rFonts w:hint="eastAsia" w:ascii="仿宋" w:hAnsi="仿宋" w:eastAsia="仿宋" w:cs="仿宋"/>
          <w:color w:val="000000" w:themeColor="text1"/>
          <w:sz w:val="32"/>
          <w:szCs w:val="32"/>
          <w:u w:val="none"/>
          <w:lang w:val="en-US" w:eastAsia="zh-CN"/>
          <w14:textFill>
            <w14:solidFill>
              <w14:schemeClr w14:val="tx1"/>
            </w14:solidFill>
          </w14:textFill>
        </w:rPr>
        <w:t>须</w:t>
      </w:r>
      <w:r>
        <w:rPr>
          <w:rFonts w:hint="eastAsia" w:ascii="仿宋" w:hAnsi="仿宋" w:eastAsia="仿宋" w:cs="仿宋"/>
          <w:color w:val="000000" w:themeColor="text1"/>
          <w:sz w:val="32"/>
          <w:szCs w:val="32"/>
          <w:u w:val="none"/>
          <w14:textFill>
            <w14:solidFill>
              <w14:schemeClr w14:val="tx1"/>
            </w14:solidFill>
          </w14:textFill>
        </w:rPr>
        <w:t>严格</w:t>
      </w:r>
      <w:r>
        <w:rPr>
          <w:rFonts w:hint="eastAsia" w:ascii="仿宋" w:hAnsi="仿宋" w:eastAsia="仿宋" w:cs="仿宋"/>
          <w:color w:val="000000" w:themeColor="text1"/>
          <w:sz w:val="32"/>
          <w:szCs w:val="32"/>
          <w:u w:val="none"/>
          <w:lang w:val="en-US" w:eastAsia="zh-CN"/>
          <w14:textFill>
            <w14:solidFill>
              <w14:schemeClr w14:val="tx1"/>
            </w14:solidFill>
          </w14:textFill>
        </w:rPr>
        <w:t>按照</w:t>
      </w:r>
      <w:r>
        <w:rPr>
          <w:rFonts w:hint="eastAsia" w:ascii="仿宋" w:hAnsi="仿宋" w:eastAsia="仿宋" w:cs="仿宋"/>
          <w:color w:val="000000" w:themeColor="text1"/>
          <w:sz w:val="32"/>
          <w:szCs w:val="32"/>
          <w:u w:val="none"/>
          <w14:textFill>
            <w14:solidFill>
              <w14:schemeClr w14:val="tx1"/>
            </w14:solidFill>
          </w14:textFill>
        </w:rPr>
        <w:t>审核同意的用地红线范围</w:t>
      </w:r>
      <w:r>
        <w:rPr>
          <w:rFonts w:hint="eastAsia" w:ascii="仿宋" w:hAnsi="仿宋" w:eastAsia="仿宋" w:cs="仿宋"/>
          <w:color w:val="000000" w:themeColor="text1"/>
          <w:sz w:val="32"/>
          <w:szCs w:val="32"/>
          <w:u w:val="none"/>
          <w:lang w:val="en-US" w:eastAsia="zh-CN"/>
          <w14:textFill>
            <w14:solidFill>
              <w14:schemeClr w14:val="tx1"/>
            </w14:solidFill>
          </w14:textFill>
        </w:rPr>
        <w:t>进行</w:t>
      </w:r>
      <w:r>
        <w:rPr>
          <w:rFonts w:hint="eastAsia" w:ascii="仿宋" w:hAnsi="仿宋" w:eastAsia="仿宋" w:cs="仿宋"/>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 w:hAnsi="仿宋" w:eastAsia="仿宋" w:cs="仿宋"/>
          <w:color w:val="000000" w:themeColor="text1"/>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u w:val="none"/>
          <w:lang w:val="en-US" w:eastAsia="zh-CN"/>
          <w14:textFill>
            <w14:solidFill>
              <w14:schemeClr w14:val="tx1"/>
            </w14:solidFill>
          </w14:textFill>
        </w:rPr>
        <w:t>施工必须依法规范管理，</w:t>
      </w:r>
      <w:r>
        <w:rPr>
          <w:rFonts w:hint="eastAsia" w:ascii="仿宋" w:hAnsi="仿宋" w:eastAsia="仿宋" w:cs="仿宋"/>
          <w:color w:val="000000" w:themeColor="text1"/>
          <w:sz w:val="32"/>
          <w:szCs w:val="32"/>
          <w:u w:val="none"/>
          <w14:textFill>
            <w14:solidFill>
              <w14:schemeClr w14:val="tx1"/>
            </w14:solidFill>
          </w14:textFill>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三、本</w:t>
      </w:r>
      <w:r>
        <w:rPr>
          <w:rFonts w:hint="eastAsia" w:ascii="仿宋" w:hAnsi="仿宋" w:eastAsia="仿宋" w:cs="仿宋"/>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涉及林木采伐，你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单位</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 w:hAnsi="仿宋" w:eastAsia="仿宋" w:cs="仿宋"/>
          <w:b w:val="0"/>
          <w:bCs w:val="0"/>
          <w:color w:val="000000" w:themeColor="text1"/>
          <w:sz w:val="32"/>
          <w:szCs w:val="32"/>
          <w:u w:val="none"/>
          <w:lang w:eastAsia="zh-CN"/>
          <w14:textFill>
            <w14:solidFill>
              <w14:schemeClr w14:val="tx1"/>
            </w14:solidFill>
          </w14:textFill>
        </w:rPr>
        <w:t>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单位</w:t>
      </w: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从事</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五、</w:t>
      </w:r>
      <w:r>
        <w:rPr>
          <w:rFonts w:hint="eastAsia" w:ascii="仿宋" w:hAnsi="仿宋" w:eastAsia="仿宋" w:cs="仿宋"/>
          <w:color w:val="000000" w:themeColor="text1"/>
          <w:sz w:val="32"/>
          <w:szCs w:val="32"/>
          <w:highlight w:val="none"/>
          <w:u w:val="none"/>
          <w14:textFill>
            <w14:solidFill>
              <w14:schemeClr w14:val="tx1"/>
            </w14:solidFill>
          </w14:textFill>
        </w:rPr>
        <w:t>本</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决定书</w:t>
      </w:r>
      <w:r>
        <w:rPr>
          <w:rFonts w:hint="eastAsia" w:ascii="仿宋" w:hAnsi="仿宋" w:eastAsia="仿宋" w:cs="仿宋"/>
          <w:color w:val="000000" w:themeColor="text1"/>
          <w:sz w:val="32"/>
          <w:szCs w:val="32"/>
          <w:highlight w:val="none"/>
          <w:u w:val="none"/>
          <w14:textFill>
            <w14:solidFill>
              <w14:schemeClr w14:val="tx1"/>
            </w14:solidFill>
          </w14:textFill>
        </w:rPr>
        <w:t>仅作为</w:t>
      </w:r>
      <w:r>
        <w:rPr>
          <w:rFonts w:hint="eastAsia" w:ascii="仿宋" w:hAnsi="仿宋" w:eastAsia="仿宋" w:cs="仿宋"/>
          <w:color w:val="000000" w:themeColor="text1"/>
          <w:sz w:val="32"/>
          <w:szCs w:val="32"/>
          <w:highlight w:val="none"/>
          <w:u w:val="none"/>
          <w:lang w:eastAsia="zh-CN"/>
          <w14:textFill>
            <w14:solidFill>
              <w14:schemeClr w14:val="tx1"/>
            </w14:solidFill>
          </w14:textFill>
        </w:rPr>
        <w:t>该</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highlight w:val="none"/>
          <w:u w:val="none"/>
          <w14:textFill>
            <w14:solidFill>
              <w14:schemeClr w14:val="tx1"/>
            </w14:solidFill>
          </w14:textFill>
        </w:rPr>
        <w:t>办理</w:t>
      </w:r>
      <w:r>
        <w:rPr>
          <w:rFonts w:hint="eastAsia" w:ascii="仿宋" w:hAnsi="仿宋" w:eastAsia="仿宋" w:cs="仿宋"/>
          <w:color w:val="000000" w:themeColor="text1"/>
          <w:sz w:val="32"/>
          <w:szCs w:val="32"/>
          <w:highlight w:val="none"/>
          <w:u w:val="none"/>
          <w:lang w:eastAsia="zh-CN"/>
          <w14:textFill>
            <w14:solidFill>
              <w14:schemeClr w14:val="tx1"/>
            </w14:solidFill>
          </w14:textFill>
        </w:rPr>
        <w:t>建设用地审批手续的依据，不是</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因</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 w:hAnsi="仿宋" w:eastAsia="仿宋" w:cs="仿宋"/>
          <w:color w:val="000000" w:themeColor="text1"/>
          <w:sz w:val="32"/>
          <w:szCs w:val="32"/>
          <w:highlight w:val="none"/>
          <w:u w:val="none"/>
          <w:lang w:eastAsia="zh-CN"/>
          <w14:textFill>
            <w14:solidFill>
              <w14:schemeClr w14:val="tx1"/>
            </w14:solidFill>
          </w14:textFill>
        </w:rPr>
        <w:t>等发生变更的，</w:t>
      </w:r>
      <w:r>
        <w:rPr>
          <w:rFonts w:hint="eastAsia" w:ascii="仿宋" w:hAnsi="仿宋" w:eastAsia="仿宋" w:cs="仿宋"/>
          <w:b w:val="0"/>
          <w:bCs w:val="0"/>
          <w:color w:val="000000" w:themeColor="text1"/>
          <w:kern w:val="2"/>
          <w:sz w:val="32"/>
          <w:szCs w:val="32"/>
          <w:u w:val="none"/>
          <w:lang w:val="en-US" w:eastAsia="zh-CN" w:bidi="ar-SA"/>
          <w14:textFill>
            <w14:solidFill>
              <w14:schemeClr w14:val="tx1"/>
            </w14:solidFill>
          </w14:textFill>
        </w:rPr>
        <w:t>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单位须</w:t>
      </w:r>
      <w:r>
        <w:rPr>
          <w:rFonts w:hint="eastAsia" w:ascii="仿宋" w:hAnsi="仿宋" w:eastAsia="仿宋" w:cs="仿宋"/>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 w:hAnsi="仿宋" w:eastAsia="仿宋" w:cs="仿宋"/>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 w:hAnsi="仿宋" w:eastAsia="仿宋" w:cs="仿宋"/>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 w:hAnsi="仿宋" w:eastAsia="仿宋" w:cs="仿宋"/>
          <w:color w:val="000000" w:themeColor="text1"/>
          <w:sz w:val="32"/>
          <w:szCs w:val="32"/>
          <w:u w:val="none"/>
          <w:lang w:val="en-US" w:eastAsia="zh-CN" w:bidi="ar-SA"/>
          <w14:textFill>
            <w14:solidFill>
              <w14:schemeClr w14:val="tx1"/>
            </w14:solidFill>
          </w14:textFill>
        </w:rPr>
        <w:t>乐山市林业和园林局</w:t>
      </w:r>
      <w:r>
        <w:rPr>
          <w:rFonts w:hint="eastAsia" w:ascii="仿宋" w:hAnsi="仿宋" w:eastAsia="仿宋" w:cs="仿宋"/>
          <w:color w:val="000000" w:themeColor="text1"/>
          <w:sz w:val="32"/>
          <w:szCs w:val="32"/>
          <w:u w:val="none"/>
          <w:lang w:val="en-US" w:eastAsia="zh-CN"/>
          <w14:textFill>
            <w14:solidFill>
              <w14:schemeClr w14:val="tx1"/>
            </w14:solidFill>
          </w14:textFill>
        </w:rPr>
        <w:t>依法受理、审查和决定。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right"/>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四川省</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right"/>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14:textFill>
            <w14:solidFill>
              <w14:schemeClr w14:val="tx1"/>
            </w14:solidFill>
          </w14:textFill>
        </w:rPr>
        <w:t>20</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24</w:t>
      </w:r>
      <w:r>
        <w:rPr>
          <w:rFonts w:hint="eastAsia" w:ascii="仿宋" w:hAnsi="仿宋" w:eastAsia="仿宋" w:cs="仿宋"/>
          <w:b w:val="0"/>
          <w:bCs w:val="0"/>
          <w:color w:val="000000" w:themeColor="text1"/>
          <w:sz w:val="32"/>
          <w:szCs w:val="32"/>
          <w:highlight w:val="none"/>
          <w:u w:val="none"/>
          <w14:textFill>
            <w14:solidFill>
              <w14:schemeClr w14:val="tx1"/>
            </w14:solidFill>
          </w14:textFill>
        </w:rPr>
        <w:t>年</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10</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月</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29</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00" w:lineRule="exact"/>
        <w:ind w:left="840" w:leftChars="0" w:right="0" w:rightChars="0" w:hanging="840" w:hangingChars="300"/>
        <w:textAlignment w:val="auto"/>
        <w:rPr>
          <w:rFonts w:hint="default" w:asciiTheme="majorEastAsia" w:hAnsiTheme="majorEastAsia" w:eastAsiaTheme="majorEastAsia" w:cstheme="majorEastAsia"/>
          <w:b w:val="0"/>
          <w:bCs w:val="0"/>
          <w:color w:val="000000" w:themeColor="text1"/>
          <w:spacing w:val="0"/>
          <w:sz w:val="28"/>
          <w:szCs w:val="28"/>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single"/>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0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u w:val="none"/>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00" w:lineRule="exact"/>
        <w:ind w:left="840" w:leftChars="0" w:right="0" w:rightChars="0" w:hanging="840" w:hangingChars="300"/>
        <w:textAlignment w:val="auto"/>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然资源和规划局，沐川县林业局。                            </w:t>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5428F0B-4447-462D-BAF6-0F63DA024B5F}"/>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F521012A-24E5-4BDF-8B56-95707AFC614D}"/>
  </w:font>
  <w:font w:name="仿宋">
    <w:panose1 w:val="02010609060101010101"/>
    <w:charset w:val="86"/>
    <w:family w:val="auto"/>
    <w:pitch w:val="default"/>
    <w:sig w:usb0="800002BF" w:usb1="38CF7CFA" w:usb2="00000016" w:usb3="00000000" w:csb0="00040001" w:csb1="00000000"/>
    <w:embedRegular r:id="rId3" w:fontKey="{D91CAA12-9AF8-4304-B3D8-1706097AD5DE}"/>
  </w:font>
  <w:font w:name="仿宋_GB2312">
    <w:panose1 w:val="02010609030101010101"/>
    <w:charset w:val="86"/>
    <w:family w:val="auto"/>
    <w:pitch w:val="default"/>
    <w:sig w:usb0="00000001" w:usb1="080E0000" w:usb2="00000000" w:usb3="00000000" w:csb0="00040000" w:csb1="00000000"/>
    <w:embedRegular r:id="rId4" w:fontKey="{1DF2D683-0A22-48FB-8AAA-3AFC040C43C8}"/>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14676633"/>
    <w:rsid w:val="18B42CF3"/>
    <w:rsid w:val="208C39AB"/>
    <w:rsid w:val="23C62375"/>
    <w:rsid w:val="307D29C3"/>
    <w:rsid w:val="37340D75"/>
    <w:rsid w:val="3B3C10D6"/>
    <w:rsid w:val="3DAA3A4B"/>
    <w:rsid w:val="458819E3"/>
    <w:rsid w:val="518E4531"/>
    <w:rsid w:val="5C5D420F"/>
    <w:rsid w:val="6C762C4F"/>
    <w:rsid w:val="77D64CE8"/>
    <w:rsid w:val="7C292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938</Words>
  <Characters>995</Characters>
  <Lines>0</Lines>
  <Paragraphs>0</Paragraphs>
  <TotalTime>1</TotalTime>
  <ScaleCrop>false</ScaleCrop>
  <LinksUpToDate>false</LinksUpToDate>
  <CharactersWithSpaces>1023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2024-10-25T06:50:00Z</cp:lastPrinted>
  <dcterms:modified xsi:type="dcterms:W3CDTF">2024-11-01T02:47:53Z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