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马边彝族自治县永红乡罗垮村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竹笋收选洗拣场</w:t>
      </w:r>
      <w:r>
        <w:rPr>
          <w:rFonts w:hint="eastAsia" w:eastAsia="方正小标宋_GBK" w:cs="Times New Roman"/>
          <w:b w:val="0"/>
          <w:bCs w:val="0"/>
          <w:color w:val="auto"/>
          <w:w w:val="100"/>
          <w:sz w:val="44"/>
          <w:szCs w:val="44"/>
          <w:u w:val="none"/>
          <w:lang w:val="en-US" w:eastAsia="zh-CN"/>
        </w:rPr>
        <w:t>地建设项目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华文仿宋" w:cs="Times New Roman"/>
          <w:b w:val="0"/>
          <w:bCs w:val="0"/>
          <w:color w:val="000000" w:themeColor="text1"/>
          <w:sz w:val="32"/>
          <w:szCs w:val="32"/>
          <w:u w:val="none"/>
          <w:lang w:val="en-US" w:eastAsia="zh-CN"/>
          <w14:textFill>
            <w14:solidFill>
              <w14:schemeClr w14:val="tx1"/>
            </w14:solidFill>
          </w14:textFill>
        </w:rPr>
        <w:t>马边彭主竹笋专业合作社</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准予“马边彝族自治县永红乡罗垮村竹笋收选洗拣场</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地建设项目</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项目代码</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川投资备</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407</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-5111</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33</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04</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154571</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FGQB-0051号）</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占用</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乐山市</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林地0.1255公顷。按林地权属划分，国有</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公顷、集体0.1255公顷；按行政区域划分，</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马边彝族自治县</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0.1255公顷</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永红乡0.1255</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占用林地的具体位置、面积和用途，须与经审核上报的《</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马边彝族自治县永红乡罗垮村竹笋收选洗拣场</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地建设项目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使用林地</w:t>
      </w:r>
      <w:r>
        <w:rPr>
          <w:rFonts w:hint="eastAsia" w:eastAsia="仿宋_GB2312" w:cs="Times New Roman"/>
          <w:b w:val="0"/>
          <w:bCs w:val="0"/>
          <w:color w:val="000000" w:themeColor="text1"/>
          <w:sz w:val="32"/>
          <w:szCs w:val="32"/>
          <w:u w:val="none"/>
          <w:lang w:val="en-US" w:eastAsia="zh-CN"/>
          <w14:textFill>
            <w14:solidFill>
              <w14:schemeClr w14:val="tx1"/>
            </w14:solidFill>
          </w14:textFill>
        </w:rPr>
        <w:t>现状调查表</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w:t>
      </w:r>
      <w:r>
        <w:rPr>
          <w:rFonts w:hint="eastAsia" w:eastAsia="仿宋_GB2312" w:cs="Times New Roman"/>
          <w:b w:val="0"/>
          <w:bCs w:val="0"/>
          <w:color w:val="000000" w:themeColor="text1"/>
          <w:sz w:val="32"/>
          <w:szCs w:val="32"/>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须及时办理相关变更手续。</w:t>
      </w:r>
    </w:p>
    <w:p>
      <w:pPr>
        <w:spacing w:beforeLines="0" w:afterLines="0" w:line="57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eastAsia" w:eastAsia="仿宋_GB2312"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u w:val="none"/>
          <w14:textFill>
            <w14:solidFill>
              <w14:schemeClr w14:val="tx1"/>
            </w14:solidFill>
          </w14:textFill>
        </w:rPr>
        <w:t>严格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u w:val="none"/>
          <w14:textFill>
            <w14:solidFill>
              <w14:schemeClr w14:val="tx1"/>
            </w14:solidFill>
          </w14:textFill>
        </w:rPr>
        <w:t>审核同意的用地红线范围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施工必须依法规范管理，</w:t>
      </w:r>
      <w:r>
        <w:rPr>
          <w:rFonts w:hint="default" w:ascii="Times New Roman" w:hAnsi="Times New Roman" w:eastAsia="仿宋_GB2312" w:cs="Times New Roman"/>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项目若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涉及林木采伐，你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、国家林业和草原局成都专员办及四川省林业和草原局等地方各级林草主管部门将依法对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决定书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仅作为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该</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建设用地审批手续的依据，不是</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开工建设和各类生态环境敏感区准入的依据。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因</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设计变更等导致所占用林地的位置、面积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等发生变更的，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六</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、本决定书有效期为两年。</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bookmarkStart w:id="0" w:name="_GoBack"/>
      <w:bookmarkEnd w:id="0"/>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受四川省林业和草原局委托，本行政许可由</w:t>
      </w:r>
      <w:r>
        <w:rPr>
          <w:rFonts w:hint="eastAsia" w:eastAsia="仿宋_GB2312" w:cs="Times New Roman"/>
          <w:color w:val="000000" w:themeColor="text1"/>
          <w:sz w:val="32"/>
          <w:szCs w:val="32"/>
          <w:u w:val="none"/>
          <w:lang w:val="en-US" w:eastAsia="zh-CN" w:bidi="ar-SA"/>
          <w14:textFill>
            <w14:solidFill>
              <w14:schemeClr w14:val="tx1"/>
            </w14:solidFill>
          </w14:textFill>
        </w:rPr>
        <w:t>乐山市林业和园林局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default" w:ascii="Times New Roman" w:hAnsi="Times New Roman" w:eastAsia="仿宋_GB2312" w:cs="Times New Roman"/>
          <w:color w:val="000000" w:themeColor="text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四川省</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年</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11</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月</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000000" w:themeColor="text1"/>
          <w:spacing w:val="0"/>
          <w:sz w:val="28"/>
          <w:szCs w:val="28"/>
          <w:u w:val="single"/>
          <w:lang w:val="en-US" w:eastAsia="zh-CN"/>
          <w14:textFill>
            <w14:solidFill>
              <w14:schemeClr w14:val="tx1"/>
            </w14:solidFill>
          </w14:textFill>
        </w:rPr>
      </w:pPr>
      <w:r>
        <w:rPr>
          <w:rFonts w:hint="eastAsia" w:eastAsia="华文仿宋" w:cs="Times New Roman"/>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然资源和规划局，马边彝族自治县林业局。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3FDEF55-D813-4022-8A54-0B109D1928C8}"/>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74292E31-F017-44B8-8EDA-49A5C09CF98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6C1391A1-D550-42DC-8C0D-17E4F7E88AFD}"/>
  </w:font>
  <w:font w:name="方正小标宋简体">
    <w:panose1 w:val="02010601030101010101"/>
    <w:charset w:val="86"/>
    <w:family w:val="auto"/>
    <w:pitch w:val="default"/>
    <w:sig w:usb0="00000001" w:usb1="080E0000" w:usb2="00000000" w:usb3="00000000" w:csb0="00040000" w:csb1="00000000"/>
    <w:embedRegular r:id="rId4" w:fontKey="{0B868762-9F22-416A-A74F-4973691CD3FF}"/>
  </w:font>
  <w:font w:name="华文仿宋">
    <w:altName w:val="仿宋"/>
    <w:panose1 w:val="02010600040101010101"/>
    <w:charset w:val="86"/>
    <w:family w:val="auto"/>
    <w:pitch w:val="default"/>
    <w:sig w:usb0="00000000" w:usb1="00000000" w:usb2="00000000" w:usb3="00000000" w:csb0="0004009F" w:csb1="DFD70000"/>
    <w:embedRegular r:id="rId5" w:fontKey="{A23D6149-3BC5-4222-A931-0B66C6DFA3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5D55FE9"/>
    <w:rsid w:val="0F6B5183"/>
    <w:rsid w:val="14676633"/>
    <w:rsid w:val="18B42CF3"/>
    <w:rsid w:val="208C39AB"/>
    <w:rsid w:val="23C62375"/>
    <w:rsid w:val="307D29C3"/>
    <w:rsid w:val="37340D75"/>
    <w:rsid w:val="3B3C10D6"/>
    <w:rsid w:val="3DAA3A4B"/>
    <w:rsid w:val="428D54B9"/>
    <w:rsid w:val="518E4531"/>
    <w:rsid w:val="5C5D420F"/>
    <w:rsid w:val="61B6686D"/>
    <w:rsid w:val="6C762C4F"/>
    <w:rsid w:val="77D64CE8"/>
    <w:rsid w:val="FFAFB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1021</Characters>
  <Lines>0</Lines>
  <Paragraphs>0</Paragraphs>
  <TotalTime>2</TotalTime>
  <ScaleCrop>false</ScaleCrop>
  <LinksUpToDate>false</LinksUpToDate>
  <CharactersWithSpaces>1051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2024-11-25T03:10:35Z</cp:lastPrinted>
  <dcterms:modified xsi:type="dcterms:W3CDTF">2024-11-25T06:34:02Z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