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川林资许准（乐）〔2024〕97号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峨边雄诚矿业开发有限公司钾长石开采加工项目（三期）</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峨边雄诚矿业开发有限公司</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w:t>
      </w:r>
      <w:r>
        <w:rPr>
          <w:rFonts w:hint="eastAsia" w:ascii="仿宋" w:hAnsi="仿宋" w:eastAsia="仿宋" w:cs="仿宋"/>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峨边雄诚矿业开发有限公司钾长石开采加工项目（三期）”（项目代码：川投资备【2203-511132-04-01-766546】FGQB-0027号）占用乐山市林地3.9233公顷。按林地权属划分，国有0.1727公顷、集体3.7496公顷；按行政区域划分，峨边彝族自治县3.9233公顷（五渡镇3.7496公顷、峨边彝族自治县国有林场福子山工区0.1727公顷）。项目</w:t>
      </w:r>
      <w:r>
        <w:rPr>
          <w:rFonts w:hint="eastAsia" w:ascii="仿宋" w:hAnsi="仿宋" w:eastAsia="仿宋" w:cs="仿宋"/>
          <w:b w:val="0"/>
          <w:bCs w:val="0"/>
          <w:color w:val="auto"/>
          <w:sz w:val="32"/>
          <w:szCs w:val="32"/>
          <w:highlight w:val="none"/>
          <w:u w:val="none"/>
          <w:lang w:val="en-US" w:eastAsia="zh-CN"/>
        </w:rPr>
        <w:t>占用林地的具体位置、面积和用途，须与经审核上报的《峨边雄诚矿业开发有限公司钾长石开采加工项目（三期）使用林地可行性报告》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二</w:t>
      </w:r>
      <w:r>
        <w:rPr>
          <w:rFonts w:hint="eastAsia" w:ascii="仿宋" w:hAnsi="仿宋" w:eastAsia="仿宋" w:cs="仿宋"/>
          <w:color w:val="auto"/>
          <w:sz w:val="32"/>
          <w:szCs w:val="32"/>
          <w:highlight w:val="none"/>
          <w:u w:val="none"/>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rPr>
        <w:t>严格</w:t>
      </w:r>
      <w:r>
        <w:rPr>
          <w:rFonts w:hint="eastAsia" w:ascii="仿宋" w:hAnsi="仿宋" w:eastAsia="仿宋" w:cs="仿宋"/>
          <w:color w:val="auto"/>
          <w:sz w:val="32"/>
          <w:szCs w:val="32"/>
          <w:highlight w:val="none"/>
          <w:u w:val="none"/>
          <w:lang w:val="en-US" w:eastAsia="zh-CN"/>
        </w:rPr>
        <w:t>按照</w:t>
      </w:r>
      <w:r>
        <w:rPr>
          <w:rFonts w:hint="eastAsia" w:ascii="仿宋" w:hAnsi="仿宋" w:eastAsia="仿宋" w:cs="仿宋"/>
          <w:color w:val="auto"/>
          <w:sz w:val="32"/>
          <w:szCs w:val="32"/>
          <w:highlight w:val="none"/>
          <w:u w:val="none"/>
        </w:rPr>
        <w:t>审核同意的用地红线范围</w:t>
      </w:r>
      <w:r>
        <w:rPr>
          <w:rFonts w:hint="eastAsia" w:ascii="仿宋" w:hAnsi="仿宋" w:eastAsia="仿宋" w:cs="仿宋"/>
          <w:color w:val="auto"/>
          <w:sz w:val="32"/>
          <w:szCs w:val="32"/>
          <w:highlight w:val="none"/>
          <w:u w:val="none"/>
          <w:lang w:val="en-US" w:eastAsia="zh-CN"/>
        </w:rPr>
        <w:t>进行</w:t>
      </w:r>
      <w:r>
        <w:rPr>
          <w:rFonts w:hint="eastAsia" w:ascii="仿宋" w:hAnsi="仿宋" w:eastAsia="仿宋" w:cs="仿宋"/>
          <w:color w:val="auto"/>
          <w:sz w:val="32"/>
          <w:szCs w:val="32"/>
          <w:highlight w:val="none"/>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施工必须依法规范管理，</w:t>
      </w:r>
      <w:r>
        <w:rPr>
          <w:rFonts w:hint="eastAsia" w:ascii="仿宋" w:hAnsi="仿宋" w:eastAsia="仿宋" w:cs="仿宋"/>
          <w:color w:val="auto"/>
          <w:sz w:val="32"/>
          <w:szCs w:val="32"/>
          <w:highlight w:val="none"/>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三、本</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b w:val="0"/>
          <w:bCs w:val="0"/>
          <w:color w:val="auto"/>
          <w:kern w:val="2"/>
          <w:sz w:val="32"/>
          <w:szCs w:val="32"/>
          <w:highlight w:val="none"/>
          <w:u w:val="none"/>
          <w:lang w:val="en-US" w:eastAsia="zh-CN" w:bidi="ar-SA"/>
        </w:rPr>
        <w:t>若</w:t>
      </w:r>
      <w:r>
        <w:rPr>
          <w:rFonts w:hint="eastAsia" w:ascii="仿宋" w:hAnsi="仿宋" w:eastAsia="仿宋" w:cs="仿宋"/>
          <w:b w:val="0"/>
          <w:bCs w:val="0"/>
          <w:color w:val="auto"/>
          <w:sz w:val="32"/>
          <w:szCs w:val="32"/>
          <w:highlight w:val="none"/>
          <w:u w:val="none"/>
          <w:lang w:val="en-US" w:eastAsia="zh-CN"/>
        </w:rPr>
        <w:t>涉及林木采伐，你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highlight w:val="none"/>
          <w:u w:val="none"/>
          <w:lang w:eastAsia="zh-CN"/>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highlight w:val="none"/>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highlight w:val="none"/>
          <w:u w:val="none"/>
          <w:lang w:val="en-US" w:eastAsia="zh-CN" w:bidi="ar-SA"/>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受四川省林业和草原局委托，本行政许可由</w:t>
      </w:r>
      <w:r>
        <w:rPr>
          <w:rFonts w:hint="eastAsia" w:ascii="仿宋" w:hAnsi="仿宋" w:eastAsia="仿宋" w:cs="仿宋"/>
          <w:color w:val="auto"/>
          <w:sz w:val="32"/>
          <w:szCs w:val="32"/>
          <w:highlight w:val="none"/>
          <w:u w:val="none"/>
          <w:lang w:val="en-US" w:eastAsia="zh-CN" w:bidi="ar-SA"/>
        </w:rPr>
        <w:t>乐山市林业和园林局</w:t>
      </w:r>
      <w:r>
        <w:rPr>
          <w:rFonts w:hint="eastAsia" w:ascii="仿宋" w:hAnsi="仿宋" w:eastAsia="仿宋" w:cs="仿宋"/>
          <w:color w:val="auto"/>
          <w:sz w:val="32"/>
          <w:szCs w:val="32"/>
          <w:highlight w:val="none"/>
          <w:u w:val="none"/>
          <w:lang w:val="en-US" w:eastAsia="zh-CN"/>
        </w:rPr>
        <w:t>依法受理、审查和决定。</w:t>
      </w:r>
    </w:p>
    <w:p>
      <w:pPr>
        <w:spacing w:beforeLines="0" w:afterLines="0" w:line="570" w:lineRule="exact"/>
        <w:rPr>
          <w:rFonts w:hint="eastAsia" w:ascii="仿宋" w:hAnsi="仿宋" w:eastAsia="仿宋" w:cs="仿宋"/>
          <w:color w:val="auto"/>
          <w:sz w:val="32"/>
          <w:szCs w:val="32"/>
          <w:highlight w:val="none"/>
          <w:u w:val="none"/>
          <w:lang w:val="en-US" w:eastAsia="zh-CN"/>
        </w:rPr>
      </w:pPr>
    </w:p>
    <w:p>
      <w:pPr>
        <w:pStyle w:val="6"/>
        <w:spacing w:beforeLines="0" w:afterLines="0" w:line="570" w:lineRule="exact"/>
        <w:rPr>
          <w:rFonts w:hint="eastAsia" w:ascii="仿宋" w:hAnsi="仿宋" w:eastAsia="仿宋" w:cs="仿宋"/>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 xml:space="preserve"> 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 xml:space="preserve"> 18</w:t>
      </w:r>
      <w:r>
        <w:rPr>
          <w:rFonts w:hint="eastAsia" w:ascii="仿宋" w:hAnsi="仿宋" w:eastAsia="仿宋" w:cs="仿宋"/>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auto"/>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color w:val="auto"/>
          <w:spacing w:val="0"/>
          <w:sz w:val="32"/>
          <w:szCs w:val="32"/>
          <w:highlight w:val="none"/>
          <w:u w:val="single"/>
          <w:lang w:val="en-US" w:eastAsia="zh-CN"/>
        </w:rPr>
      </w:pPr>
      <w:r>
        <w:rPr>
          <w:rFonts w:hint="eastAsia" w:ascii="仿宋" w:hAnsi="仿宋" w:eastAsia="仿宋" w:cs="仿宋"/>
          <w:b w:val="0"/>
          <w:bCs w:val="0"/>
          <w:color w:val="auto"/>
          <w:spacing w:val="0"/>
          <w:sz w:val="32"/>
          <w:szCs w:val="32"/>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highlight w:val="none"/>
          <w:u w:val="none"/>
          <w:lang w:val="en-US" w:eastAsia="zh-CN"/>
        </w:rPr>
      </w:pPr>
      <w:r>
        <w:rPr>
          <w:rFonts w:hint="eastAsia" w:asciiTheme="majorEastAsia" w:hAnsiTheme="majorEastAsia" w:eastAsiaTheme="majorEastAsia" w:cstheme="majorEastAsia"/>
          <w:b w:val="0"/>
          <w:bCs w:val="0"/>
          <w:color w:val="auto"/>
          <w:spacing w:val="0"/>
          <w:sz w:val="28"/>
          <w:szCs w:val="28"/>
          <w:highlight w:val="none"/>
          <w:u w:val="none"/>
        </w:rPr>
        <w:t>抄送：</w:t>
      </w:r>
      <w:r>
        <w:rPr>
          <w:rFonts w:hint="eastAsia" w:asciiTheme="majorEastAsia" w:hAnsiTheme="majorEastAsia" w:eastAsiaTheme="majorEastAsia" w:cstheme="majorEastAsia"/>
          <w:color w:val="auto"/>
          <w:spacing w:val="0"/>
          <w:sz w:val="28"/>
          <w:szCs w:val="28"/>
          <w:highlight w:val="none"/>
          <w:u w:val="none"/>
        </w:rPr>
        <w:t>国家林业和草原局成都专员办，</w:t>
      </w:r>
      <w:r>
        <w:rPr>
          <w:rFonts w:hint="eastAsia" w:asciiTheme="majorEastAsia" w:hAnsiTheme="majorEastAsia" w:eastAsiaTheme="majorEastAsia" w:cstheme="majorEastAsia"/>
          <w:color w:val="auto"/>
          <w:spacing w:val="0"/>
          <w:sz w:val="28"/>
          <w:szCs w:val="28"/>
          <w:highlight w:val="none"/>
          <w:u w:val="none"/>
          <w:lang w:eastAsia="zh-CN"/>
        </w:rPr>
        <w:t>四川省</w:t>
      </w:r>
      <w:r>
        <w:rPr>
          <w:rFonts w:hint="eastAsia" w:asciiTheme="majorEastAsia" w:hAnsiTheme="majorEastAsia" w:eastAsiaTheme="majorEastAsia" w:cstheme="majorEastAsia"/>
          <w:color w:val="auto"/>
          <w:spacing w:val="0"/>
          <w:sz w:val="28"/>
          <w:szCs w:val="28"/>
          <w:highlight w:val="none"/>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default" w:asciiTheme="majorEastAsia" w:hAnsiTheme="majorEastAsia" w:eastAsiaTheme="majorEastAsia" w:cstheme="majorEastAsia"/>
          <w:sz w:val="28"/>
          <w:szCs w:val="28"/>
          <w:u w:val="single"/>
          <w:lang w:val="en-US"/>
        </w:rPr>
      </w:pPr>
      <w:r>
        <w:rPr>
          <w:rFonts w:hint="eastAsia" w:asciiTheme="majorEastAsia" w:hAnsiTheme="majorEastAsia" w:eastAsiaTheme="majorEastAsia" w:cstheme="majorEastAsia"/>
          <w:color w:val="auto"/>
          <w:spacing w:val="0"/>
          <w:sz w:val="28"/>
          <w:szCs w:val="28"/>
          <w:highlight w:val="none"/>
          <w:u w:val="single"/>
          <w:lang w:val="en-US" w:eastAsia="zh-CN"/>
        </w:rPr>
        <w:t xml:space="preserve">      然资源和规划局，峨边彝族自治县林业局。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DC248A8-3B16-4EBA-8892-16D7D8A3DF96}"/>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8015E95A-26E5-488E-8BE7-C50FA6CCA314}"/>
  </w:font>
  <w:font w:name="仿宋">
    <w:panose1 w:val="02010609060101010101"/>
    <w:charset w:val="86"/>
    <w:family w:val="auto"/>
    <w:pitch w:val="default"/>
    <w:sig w:usb0="800002BF" w:usb1="38CF7CFA" w:usb2="00000016" w:usb3="00000000" w:csb0="00040001" w:csb1="00000000"/>
    <w:embedRegular r:id="rId3" w:fontKey="{A7BE363C-7D6A-4CCF-BD33-6935FF8F309E}"/>
  </w:font>
  <w:font w:name="仿宋_GB2312">
    <w:panose1 w:val="02010609030101010101"/>
    <w:charset w:val="86"/>
    <w:family w:val="auto"/>
    <w:pitch w:val="default"/>
    <w:sig w:usb0="00000001" w:usb1="080E0000" w:usb2="00000000" w:usb3="00000000" w:csb0="00040000" w:csb1="00000000"/>
    <w:embedRegular r:id="rId4" w:fontKey="{7C2AE2EB-7F58-4F77-8613-1C9694523569}"/>
  </w:font>
  <w:font w:name="方正小标宋简体">
    <w:panose1 w:val="02010601030101010101"/>
    <w:charset w:val="86"/>
    <w:family w:val="auto"/>
    <w:pitch w:val="default"/>
    <w:sig w:usb0="00000001" w:usb1="080E0000" w:usb2="00000000" w:usb3="00000000" w:csb0="00040000" w:csb1="00000000"/>
    <w:embedRegular r:id="rId5" w:fontKey="{48CFC98B-A8BB-4D05-BED0-D37975ED7DB1}"/>
  </w:font>
  <w:font w:name="华文仿宋">
    <w:panose1 w:val="0201060004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21C124F5"/>
    <w:rsid w:val="23C62375"/>
    <w:rsid w:val="307D29C3"/>
    <w:rsid w:val="3DAA3A4B"/>
    <w:rsid w:val="5C5D420F"/>
    <w:rsid w:val="634A1A42"/>
    <w:rsid w:val="6C762C4F"/>
    <w:rsid w:val="6D8F1657"/>
    <w:rsid w:val="7F70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1015</Words>
  <Characters>1082</Characters>
  <Lines>0</Lines>
  <Paragraphs>0</Paragraphs>
  <TotalTime>1</TotalTime>
  <ScaleCrop>false</ScaleCrop>
  <LinksUpToDate>false</LinksUpToDate>
  <CharactersWithSpaces>1107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2024-10-29T02:41:37Z</cp:lastPrinted>
  <dcterms:modified xsi:type="dcterms:W3CDTF">2024-10-29T02:42:06Z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