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80"/>
          <w:szCs w:val="80"/>
        </w:rPr>
      </w:pPr>
      <w:r>
        <w:rPr>
          <w:rFonts w:hint="default" w:ascii="Times New Roman" w:hAnsi="Times New Roman" w:eastAsia="方正小标宋_GBK" w:cs="Times New Roman"/>
          <w:b w:val="0"/>
          <w:bCs w:val="0"/>
          <w:color w:val="FF0000"/>
          <w:kern w:val="44"/>
          <w:sz w:val="80"/>
          <w:szCs w:val="80"/>
        </w:rPr>
        <w:t>四川省林业和草原局</w:t>
      </w:r>
    </w:p>
    <w:p>
      <w:pPr>
        <w:bidi w:val="0"/>
        <w:rPr>
          <w:rFonts w:hint="default"/>
        </w:rPr>
      </w:pPr>
    </w:p>
    <w:p>
      <w:pPr>
        <w:bidi w:val="0"/>
        <w:rPr>
          <w:rFonts w:hint="default"/>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3360"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3360;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iladoN4BAACZAwAA&#10;DgAAAAAAAAABACAAAAAlAQAAZHJzL2Uyb0RvYy54bWxQSwUGAAAAAAYABgBZAQAAdQU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b w:val="0"/>
          <w:bCs w:val="0"/>
          <w:color w:val="auto"/>
          <w:kern w:val="2"/>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川林资许准（乐）〔2024〕92号</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b w:val="0"/>
          <w:bCs w:val="0"/>
          <w:color w:val="auto"/>
          <w:kern w:val="2"/>
          <w:sz w:val="28"/>
          <w:szCs w:val="28"/>
          <w:u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w w:val="100"/>
          <w:sz w:val="44"/>
          <w:szCs w:val="44"/>
          <w:u w:val="none"/>
          <w:lang w:val="en-US" w:eastAsia="zh-CN"/>
        </w:rPr>
      </w:pPr>
      <w:r>
        <w:rPr>
          <w:rFonts w:hint="eastAsia" w:ascii="方正小标宋简体" w:hAnsi="方正小标宋简体" w:eastAsia="方正小标宋简体" w:cs="方正小标宋简体"/>
          <w:b w:val="0"/>
          <w:bCs w:val="0"/>
          <w:color w:val="auto"/>
          <w:w w:val="100"/>
          <w:sz w:val="44"/>
          <w:szCs w:val="44"/>
          <w:u w:val="none"/>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井研县马踏镇红五月村综合服务站项目</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b w:val="0"/>
          <w:bCs w:val="0"/>
          <w:color w:val="auto"/>
          <w:sz w:val="32"/>
          <w:szCs w:val="32"/>
          <w:u w:val="none"/>
          <w:lang w:val="en-US" w:eastAsia="zh-CN"/>
        </w:rPr>
        <w:t>井研县马踏镇红五月村村民委员会</w:t>
      </w:r>
      <w:r>
        <w:rPr>
          <w:rFonts w:hint="eastAsia" w:ascii="仿宋" w:hAnsi="仿宋" w:eastAsia="仿宋" w:cs="仿宋"/>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一、</w:t>
      </w:r>
      <w:r>
        <w:rPr>
          <w:rFonts w:hint="eastAsia" w:ascii="仿宋" w:hAnsi="仿宋" w:eastAsia="仿宋" w:cs="仿宋"/>
          <w:b w:val="0"/>
          <w:bCs w:val="0"/>
          <w:color w:val="auto"/>
          <w:sz w:val="32"/>
          <w:szCs w:val="32"/>
          <w:highlight w:val="none"/>
          <w:u w:val="none"/>
          <w:lang w:val="en-US" w:eastAsia="zh-CN"/>
        </w:rPr>
        <w:t>准予“井研县马踏镇红五月村综合服务站项目”（项目代码：川投资备【2408-511124-04-01-562657】FGQB-0127号）占用乐山市林地0.2654公顷。按林地权属划分，国有0公顷、集体0.2654公顷；按行政区域划分，乐山市井研县0.2654公顷（马踏镇0.2654公顷）。项目</w:t>
      </w:r>
      <w:r>
        <w:rPr>
          <w:rFonts w:hint="eastAsia" w:ascii="仿宋" w:hAnsi="仿宋" w:eastAsia="仿宋" w:cs="仿宋"/>
          <w:b w:val="0"/>
          <w:bCs w:val="0"/>
          <w:color w:val="auto"/>
          <w:sz w:val="32"/>
          <w:szCs w:val="32"/>
          <w:u w:val="none"/>
          <w:lang w:val="en-US" w:eastAsia="zh-CN"/>
        </w:rPr>
        <w:t>占用林地的具体位置、面积和用途，须与经审核上报的《井研县马踏镇红五月村综合服务站项目使用林地现状调查表》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rPr>
        <w:t>、你</w:t>
      </w:r>
      <w:r>
        <w:rPr>
          <w:rFonts w:hint="eastAsia" w:ascii="仿宋" w:hAnsi="仿宋" w:eastAsia="仿宋" w:cs="仿宋"/>
          <w:color w:val="auto"/>
          <w:sz w:val="32"/>
          <w:szCs w:val="32"/>
          <w:highlight w:val="none"/>
          <w:u w:val="none"/>
          <w:lang w:val="en-US" w:eastAsia="zh-CN"/>
        </w:rPr>
        <w:t>单位</w:t>
      </w:r>
      <w:r>
        <w:rPr>
          <w:rFonts w:hint="eastAsia" w:ascii="仿宋" w:hAnsi="仿宋" w:eastAsia="仿宋" w:cs="仿宋"/>
          <w:color w:val="auto"/>
          <w:sz w:val="32"/>
          <w:szCs w:val="32"/>
          <w:u w:val="none"/>
          <w:lang w:val="en-US" w:eastAsia="zh-CN"/>
        </w:rPr>
        <w:t>须</w:t>
      </w:r>
      <w:r>
        <w:rPr>
          <w:rFonts w:hint="eastAsia" w:ascii="仿宋" w:hAnsi="仿宋" w:eastAsia="仿宋" w:cs="仿宋"/>
          <w:color w:val="auto"/>
          <w:sz w:val="32"/>
          <w:szCs w:val="32"/>
          <w:u w:val="none"/>
        </w:rPr>
        <w:t>严格</w:t>
      </w:r>
      <w:r>
        <w:rPr>
          <w:rFonts w:hint="eastAsia" w:ascii="仿宋" w:hAnsi="仿宋" w:eastAsia="仿宋" w:cs="仿宋"/>
          <w:color w:val="auto"/>
          <w:sz w:val="32"/>
          <w:szCs w:val="32"/>
          <w:u w:val="none"/>
          <w:lang w:val="en-US" w:eastAsia="zh-CN"/>
        </w:rPr>
        <w:t>按照</w:t>
      </w:r>
      <w:r>
        <w:rPr>
          <w:rFonts w:hint="eastAsia" w:ascii="仿宋" w:hAnsi="仿宋" w:eastAsia="仿宋" w:cs="仿宋"/>
          <w:color w:val="auto"/>
          <w:sz w:val="32"/>
          <w:szCs w:val="32"/>
          <w:u w:val="none"/>
        </w:rPr>
        <w:t>审核同意的用地红线范围</w:t>
      </w:r>
      <w:r>
        <w:rPr>
          <w:rFonts w:hint="eastAsia" w:ascii="仿宋" w:hAnsi="仿宋" w:eastAsia="仿宋" w:cs="仿宋"/>
          <w:color w:val="auto"/>
          <w:sz w:val="32"/>
          <w:szCs w:val="32"/>
          <w:u w:val="none"/>
          <w:lang w:val="en-US" w:eastAsia="zh-CN"/>
        </w:rPr>
        <w:t>进行</w:t>
      </w:r>
      <w:r>
        <w:rPr>
          <w:rFonts w:hint="eastAsia" w:ascii="仿宋" w:hAnsi="仿宋" w:eastAsia="仿宋" w:cs="仿宋"/>
          <w:color w:val="auto"/>
          <w:sz w:val="32"/>
          <w:szCs w:val="32"/>
          <w:u w:val="none"/>
        </w:rPr>
        <w:t>建设，不得擅自改变经审核同意的林地建设用途，不得用于别墅、高尔夫球场、未依法批准的各类园区及法定禁止用地项目建设。</w:t>
      </w:r>
      <w:r>
        <w:rPr>
          <w:rFonts w:hint="eastAsia" w:ascii="仿宋" w:hAnsi="仿宋" w:eastAsia="仿宋" w:cs="仿宋"/>
          <w:color w:val="auto"/>
          <w:sz w:val="32"/>
          <w:szCs w:val="32"/>
          <w:highlight w:val="none"/>
          <w:u w:val="none"/>
          <w:lang w:val="en-US" w:eastAsia="zh-CN" w:bidi="ar-SA"/>
        </w:rPr>
        <w:t>项目</w:t>
      </w:r>
      <w:r>
        <w:rPr>
          <w:rFonts w:hint="eastAsia" w:ascii="仿宋" w:hAnsi="仿宋" w:eastAsia="仿宋" w:cs="仿宋"/>
          <w:color w:val="auto"/>
          <w:sz w:val="32"/>
          <w:szCs w:val="32"/>
          <w:u w:val="none"/>
          <w:lang w:val="en-US" w:eastAsia="zh-CN"/>
        </w:rPr>
        <w:t>施工必须依法规范管理，</w:t>
      </w:r>
      <w:r>
        <w:rPr>
          <w:rFonts w:hint="eastAsia" w:ascii="仿宋" w:hAnsi="仿宋" w:eastAsia="仿宋" w:cs="仿宋"/>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三、本</w:t>
      </w:r>
      <w:r>
        <w:rPr>
          <w:rFonts w:hint="eastAsia" w:ascii="仿宋" w:hAnsi="仿宋" w:eastAsia="仿宋" w:cs="仿宋"/>
          <w:b w:val="0"/>
          <w:bCs w:val="0"/>
          <w:color w:val="auto"/>
          <w:kern w:val="2"/>
          <w:sz w:val="32"/>
          <w:szCs w:val="32"/>
          <w:u w:val="none"/>
          <w:lang w:val="en-US" w:eastAsia="zh-CN" w:bidi="ar-SA"/>
        </w:rPr>
        <w:t>项目若</w:t>
      </w:r>
      <w:r>
        <w:rPr>
          <w:rFonts w:hint="eastAsia" w:ascii="仿宋" w:hAnsi="仿宋" w:eastAsia="仿宋" w:cs="仿宋"/>
          <w:b w:val="0"/>
          <w:bCs w:val="0"/>
          <w:color w:val="auto"/>
          <w:sz w:val="32"/>
          <w:szCs w:val="32"/>
          <w:u w:val="none"/>
          <w:lang w:val="en-US" w:eastAsia="zh-CN"/>
        </w:rPr>
        <w:t>涉及林木采伐，你</w:t>
      </w:r>
      <w:r>
        <w:rPr>
          <w:rFonts w:hint="eastAsia" w:ascii="仿宋" w:hAnsi="仿宋" w:eastAsia="仿宋" w:cs="仿宋"/>
          <w:color w:val="auto"/>
          <w:sz w:val="32"/>
          <w:szCs w:val="32"/>
          <w:highlight w:val="none"/>
          <w:u w:val="none"/>
          <w:lang w:val="en-US" w:eastAsia="zh-CN"/>
        </w:rPr>
        <w:t>单位</w:t>
      </w:r>
      <w:r>
        <w:rPr>
          <w:rFonts w:hint="eastAsia" w:ascii="仿宋" w:hAnsi="仿宋" w:eastAsia="仿宋" w:cs="仿宋"/>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四、国家林业和草原局成都专员办及四川省林业和草原局等地方各级林草主管部门将依法对</w:t>
      </w:r>
      <w:r>
        <w:rPr>
          <w:rFonts w:hint="eastAsia" w:ascii="仿宋" w:hAnsi="仿宋" w:eastAsia="仿宋" w:cs="仿宋"/>
          <w:b w:val="0"/>
          <w:bCs w:val="0"/>
          <w:color w:val="auto"/>
          <w:sz w:val="32"/>
          <w:szCs w:val="32"/>
          <w:u w:val="none"/>
          <w:lang w:eastAsia="zh-CN"/>
        </w:rPr>
        <w:t>你</w:t>
      </w:r>
      <w:r>
        <w:rPr>
          <w:rFonts w:hint="eastAsia" w:ascii="仿宋" w:hAnsi="仿宋" w:eastAsia="仿宋" w:cs="仿宋"/>
          <w:color w:val="auto"/>
          <w:sz w:val="32"/>
          <w:szCs w:val="32"/>
          <w:highlight w:val="none"/>
          <w:u w:val="none"/>
          <w:lang w:val="en-US" w:eastAsia="zh-CN"/>
        </w:rPr>
        <w:t>单位</w:t>
      </w:r>
      <w:r>
        <w:rPr>
          <w:rFonts w:hint="eastAsia" w:ascii="仿宋" w:hAnsi="仿宋" w:eastAsia="仿宋" w:cs="仿宋"/>
          <w:b w:val="0"/>
          <w:bCs w:val="0"/>
          <w:color w:val="auto"/>
          <w:sz w:val="32"/>
          <w:szCs w:val="32"/>
          <w:highlight w:val="none"/>
          <w:u w:val="none"/>
          <w:lang w:eastAsia="zh-CN"/>
        </w:rPr>
        <w:t>从事</w:t>
      </w:r>
      <w:r>
        <w:rPr>
          <w:rFonts w:hint="eastAsia" w:ascii="仿宋" w:hAnsi="仿宋" w:eastAsia="仿宋" w:cs="仿宋"/>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color w:val="auto"/>
          <w:sz w:val="32"/>
          <w:szCs w:val="32"/>
          <w:highlight w:val="none"/>
          <w:u w:val="none"/>
          <w:lang w:val="en-US" w:eastAsia="zh-CN"/>
        </w:rPr>
        <w:t>五、</w:t>
      </w:r>
      <w:r>
        <w:rPr>
          <w:rFonts w:hint="eastAsia" w:ascii="仿宋" w:hAnsi="仿宋" w:eastAsia="仿宋" w:cs="仿宋"/>
          <w:color w:val="auto"/>
          <w:sz w:val="32"/>
          <w:szCs w:val="32"/>
          <w:highlight w:val="none"/>
          <w:u w:val="none"/>
        </w:rPr>
        <w:t>本</w:t>
      </w:r>
      <w:r>
        <w:rPr>
          <w:rFonts w:hint="eastAsia" w:ascii="仿宋" w:hAnsi="仿宋" w:eastAsia="仿宋" w:cs="仿宋"/>
          <w:color w:val="auto"/>
          <w:sz w:val="32"/>
          <w:szCs w:val="32"/>
          <w:highlight w:val="none"/>
          <w:u w:val="none"/>
          <w:lang w:val="en-US" w:eastAsia="zh-CN"/>
        </w:rPr>
        <w:t>决定书</w:t>
      </w:r>
      <w:r>
        <w:rPr>
          <w:rFonts w:hint="eastAsia" w:ascii="仿宋" w:hAnsi="仿宋" w:eastAsia="仿宋" w:cs="仿宋"/>
          <w:color w:val="auto"/>
          <w:sz w:val="32"/>
          <w:szCs w:val="32"/>
          <w:highlight w:val="none"/>
          <w:u w:val="none"/>
        </w:rPr>
        <w:t>仅作为</w:t>
      </w:r>
      <w:r>
        <w:rPr>
          <w:rFonts w:hint="eastAsia" w:ascii="仿宋" w:hAnsi="仿宋" w:eastAsia="仿宋" w:cs="仿宋"/>
          <w:color w:val="auto"/>
          <w:sz w:val="32"/>
          <w:szCs w:val="32"/>
          <w:highlight w:val="none"/>
          <w:u w:val="none"/>
          <w:lang w:eastAsia="zh-CN"/>
        </w:rPr>
        <w:t>该</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rPr>
        <w:t>办理</w:t>
      </w:r>
      <w:r>
        <w:rPr>
          <w:rFonts w:hint="eastAsia" w:ascii="仿宋" w:hAnsi="仿宋" w:eastAsia="仿宋" w:cs="仿宋"/>
          <w:color w:val="auto"/>
          <w:sz w:val="32"/>
          <w:szCs w:val="32"/>
          <w:highlight w:val="none"/>
          <w:u w:val="none"/>
          <w:lang w:eastAsia="zh-CN"/>
        </w:rPr>
        <w:t>建设用地审批手续的依据，不是</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eastAsia="zh-CN"/>
        </w:rPr>
        <w:t>开工建设和各类生态环境敏感区准入的依据。</w:t>
      </w:r>
      <w:r>
        <w:rPr>
          <w:rFonts w:hint="eastAsia" w:ascii="仿宋" w:hAnsi="仿宋" w:eastAsia="仿宋" w:cs="仿宋"/>
          <w:color w:val="auto"/>
          <w:sz w:val="32"/>
          <w:szCs w:val="32"/>
          <w:highlight w:val="none"/>
          <w:u w:val="none"/>
          <w:lang w:val="en-US" w:eastAsia="zh-CN"/>
        </w:rPr>
        <w:t>因</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val="en-US" w:eastAsia="zh-CN"/>
        </w:rPr>
        <w:t>设计变更等导致所占用林地的位置、面积</w:t>
      </w:r>
      <w:r>
        <w:rPr>
          <w:rFonts w:hint="eastAsia" w:ascii="仿宋" w:hAnsi="仿宋" w:eastAsia="仿宋" w:cs="仿宋"/>
          <w:color w:val="auto"/>
          <w:sz w:val="32"/>
          <w:szCs w:val="32"/>
          <w:highlight w:val="none"/>
          <w:u w:val="none"/>
          <w:lang w:eastAsia="zh-CN"/>
        </w:rPr>
        <w:t>等发生变更的，</w:t>
      </w:r>
      <w:r>
        <w:rPr>
          <w:rFonts w:hint="eastAsia" w:ascii="仿宋" w:hAnsi="仿宋" w:eastAsia="仿宋" w:cs="仿宋"/>
          <w:b w:val="0"/>
          <w:bCs w:val="0"/>
          <w:color w:val="auto"/>
          <w:kern w:val="2"/>
          <w:sz w:val="32"/>
          <w:szCs w:val="32"/>
          <w:u w:val="none"/>
          <w:lang w:val="en-US" w:eastAsia="zh-CN" w:bidi="ar-SA"/>
        </w:rPr>
        <w:t>你</w:t>
      </w:r>
      <w:r>
        <w:rPr>
          <w:rFonts w:hint="eastAsia" w:ascii="仿宋" w:hAnsi="仿宋" w:eastAsia="仿宋" w:cs="仿宋"/>
          <w:color w:val="auto"/>
          <w:sz w:val="32"/>
          <w:szCs w:val="32"/>
          <w:highlight w:val="none"/>
          <w:u w:val="none"/>
          <w:lang w:val="en-US" w:eastAsia="zh-CN"/>
        </w:rPr>
        <w:t>单位须</w:t>
      </w:r>
      <w:r>
        <w:rPr>
          <w:rFonts w:hint="eastAsia" w:ascii="仿宋" w:hAnsi="仿宋" w:eastAsia="仿宋" w:cs="仿宋"/>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六、本决定书有效期为两年。</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受四川省林业和草原局委托，本行政许可由</w:t>
      </w:r>
      <w:r>
        <w:rPr>
          <w:rFonts w:hint="eastAsia" w:ascii="仿宋" w:hAnsi="仿宋" w:eastAsia="仿宋" w:cs="仿宋"/>
          <w:color w:val="auto"/>
          <w:sz w:val="32"/>
          <w:szCs w:val="32"/>
          <w:u w:val="none"/>
          <w:lang w:val="en-US" w:eastAsia="zh-CN" w:bidi="ar-SA"/>
        </w:rPr>
        <w:t>乐山市林业和园林局</w:t>
      </w:r>
      <w:r>
        <w:rPr>
          <w:rFonts w:hint="eastAsia" w:ascii="仿宋" w:hAnsi="仿宋" w:eastAsia="仿宋" w:cs="仿宋"/>
          <w:color w:val="auto"/>
          <w:sz w:val="32"/>
          <w:szCs w:val="32"/>
          <w:u w:val="none"/>
          <w:lang w:val="en-US" w:eastAsia="zh-CN"/>
        </w:rPr>
        <w:t>依法受理、审查和决定。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四川省</w:t>
      </w:r>
      <w:r>
        <w:rPr>
          <w:rFonts w:hint="eastAsia" w:ascii="仿宋" w:hAnsi="仿宋" w:eastAsia="仿宋" w:cs="仿宋"/>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r>
        <w:rPr>
          <w:rFonts w:hint="eastAsia" w:ascii="仿宋" w:hAnsi="仿宋" w:eastAsia="仿宋" w:cs="仿宋"/>
          <w:b w:val="0"/>
          <w:bCs w:val="0"/>
          <w:color w:val="auto"/>
          <w:sz w:val="32"/>
          <w:szCs w:val="32"/>
          <w:highlight w:val="none"/>
          <w:u w:val="none"/>
        </w:rPr>
        <w:t>20</w:t>
      </w:r>
      <w:r>
        <w:rPr>
          <w:rFonts w:hint="eastAsia" w:ascii="仿宋" w:hAnsi="仿宋" w:eastAsia="仿宋" w:cs="仿宋"/>
          <w:b w:val="0"/>
          <w:bCs w:val="0"/>
          <w:color w:val="auto"/>
          <w:sz w:val="32"/>
          <w:szCs w:val="32"/>
          <w:highlight w:val="none"/>
          <w:u w:val="none"/>
          <w:lang w:val="en-US" w:eastAsia="zh-CN"/>
        </w:rPr>
        <w:t>24</w:t>
      </w:r>
      <w:r>
        <w:rPr>
          <w:rFonts w:hint="eastAsia" w:ascii="仿宋" w:hAnsi="仿宋" w:eastAsia="仿宋" w:cs="仿宋"/>
          <w:b w:val="0"/>
          <w:bCs w:val="0"/>
          <w:color w:val="auto"/>
          <w:sz w:val="32"/>
          <w:szCs w:val="32"/>
          <w:highlight w:val="none"/>
          <w:u w:val="none"/>
        </w:rPr>
        <w:t>年</w:t>
      </w:r>
      <w:r>
        <w:rPr>
          <w:rFonts w:hint="eastAsia" w:ascii="仿宋" w:hAnsi="仿宋" w:eastAsia="仿宋" w:cs="仿宋"/>
          <w:b w:val="0"/>
          <w:bCs w:val="0"/>
          <w:color w:val="auto"/>
          <w:sz w:val="32"/>
          <w:szCs w:val="32"/>
          <w:highlight w:val="none"/>
          <w:u w:val="none"/>
          <w:lang w:val="en-US" w:eastAsia="zh-CN"/>
        </w:rPr>
        <w:t>10</w:t>
      </w:r>
      <w:r>
        <w:rPr>
          <w:rFonts w:hint="eastAsia" w:ascii="仿宋" w:hAnsi="仿宋" w:eastAsia="仿宋" w:cs="仿宋"/>
          <w:b w:val="0"/>
          <w:bCs w:val="0"/>
          <w:color w:val="auto"/>
          <w:sz w:val="32"/>
          <w:szCs w:val="32"/>
          <w:highlight w:val="none"/>
          <w:u w:val="none"/>
        </w:rPr>
        <w:t>月</w:t>
      </w:r>
      <w:r>
        <w:rPr>
          <w:rFonts w:hint="eastAsia" w:ascii="仿宋" w:hAnsi="仿宋" w:eastAsia="仿宋" w:cs="仿宋"/>
          <w:b w:val="0"/>
          <w:bCs w:val="0"/>
          <w:color w:val="auto"/>
          <w:sz w:val="32"/>
          <w:szCs w:val="32"/>
          <w:highlight w:val="none"/>
          <w:u w:val="none"/>
          <w:lang w:val="en-US" w:eastAsia="zh-CN"/>
        </w:rPr>
        <w:t>17</w:t>
      </w:r>
      <w:r>
        <w:rPr>
          <w:rFonts w:hint="eastAsia" w:ascii="仿宋" w:hAnsi="仿宋" w:eastAsia="仿宋" w:cs="仿宋"/>
          <w:b w:val="0"/>
          <w:bCs w:val="0"/>
          <w:color w:val="auto"/>
          <w:sz w:val="32"/>
          <w:szCs w:val="32"/>
          <w:highlight w:val="none"/>
          <w:u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rPr>
          <w:rFonts w:hint="default" w:asciiTheme="majorEastAsia" w:hAnsiTheme="majorEastAsia" w:eastAsiaTheme="majorEastAsia" w:cstheme="majorEastAsia"/>
          <w:b w:val="0"/>
          <w:bCs w:val="0"/>
          <w:color w:val="auto"/>
          <w:sz w:val="28"/>
          <w:szCs w:val="28"/>
          <w:highlight w:val="none"/>
          <w:u w:val="single"/>
          <w:lang w:val="en-US" w:eastAsia="zh-CN"/>
        </w:rPr>
      </w:pPr>
      <w:r>
        <w:rPr>
          <w:rFonts w:hint="eastAsia" w:asciiTheme="majorEastAsia" w:hAnsiTheme="majorEastAsia" w:eastAsiaTheme="majorEastAsia" w:cstheme="majorEastAsia"/>
          <w:b w:val="0"/>
          <w:bCs w:val="0"/>
          <w:color w:val="auto"/>
          <w:sz w:val="28"/>
          <w:szCs w:val="28"/>
          <w:highlight w:val="none"/>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textAlignment w:val="auto"/>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然资源和规划局，井研县自然资源局。                      </w:t>
      </w:r>
    </w:p>
    <w:sectPr>
      <w:footerReference r:id="rId3" w:type="default"/>
      <w:pgSz w:w="11906" w:h="16838"/>
      <w:pgMar w:top="1440" w:right="1531"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0E2829F-68A8-4635-9985-2D12BB109AA2}"/>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6F7456BC-4F1A-4531-ABC9-EB48D0711D3C}"/>
  </w:font>
  <w:font w:name="仿宋">
    <w:panose1 w:val="02010609060101010101"/>
    <w:charset w:val="86"/>
    <w:family w:val="auto"/>
    <w:pitch w:val="default"/>
    <w:sig w:usb0="800002BF" w:usb1="38CF7CFA" w:usb2="00000016" w:usb3="00000000" w:csb0="00040001" w:csb1="00000000"/>
    <w:embedRegular r:id="rId3" w:fontKey="{EEB05FF0-53C0-490C-99CF-AAAB666E8003}"/>
  </w:font>
  <w:font w:name="仿宋_GB2312">
    <w:panose1 w:val="02010609030101010101"/>
    <w:charset w:val="86"/>
    <w:family w:val="auto"/>
    <w:pitch w:val="default"/>
    <w:sig w:usb0="00000001" w:usb1="080E0000" w:usb2="00000000" w:usb3="00000000" w:csb0="00040000" w:csb1="00000000"/>
    <w:embedRegular r:id="rId4" w:fontKey="{30E900AF-C78E-4A03-8C7E-E52116357DBC}"/>
  </w:font>
  <w:font w:name="方正小标宋简体">
    <w:panose1 w:val="02010601030101010101"/>
    <w:charset w:val="86"/>
    <w:family w:val="auto"/>
    <w:pitch w:val="default"/>
    <w:sig w:usb0="00000001" w:usb1="080E0000" w:usb2="00000000" w:usb3="00000000" w:csb0="00040000" w:csb1="00000000"/>
    <w:embedRegular r:id="rId5" w:fontKey="{FEC5FFE0-2666-4EDC-A103-AE91DFDE3EEA}"/>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788"/>
        <w:tab w:val="clear" w:pos="4153"/>
      </w:tabs>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rFonts w:hint="eastAsia"/>
        <w:lang w:eastAsia="zh-CN"/>
      </w:rPr>
      <w:tab/>
      <w: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01A04DD5"/>
    <w:rsid w:val="14676633"/>
    <w:rsid w:val="18B42CF3"/>
    <w:rsid w:val="23C62375"/>
    <w:rsid w:val="307D29C3"/>
    <w:rsid w:val="3C865556"/>
    <w:rsid w:val="3DAA3A4B"/>
    <w:rsid w:val="518E4531"/>
    <w:rsid w:val="576A55E3"/>
    <w:rsid w:val="5C5D420F"/>
    <w:rsid w:val="6C762C4F"/>
    <w:rsid w:val="77D64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970</Words>
  <Characters>1027</Characters>
  <Lines>0</Lines>
  <Paragraphs>0</Paragraphs>
  <TotalTime>2</TotalTime>
  <ScaleCrop>false</ScaleCrop>
  <LinksUpToDate>false</LinksUpToDate>
  <CharactersWithSpaces>1052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cp:lastPrinted>2024-09-06T02:41:00Z</cp:lastPrinted>
  <dcterms:modified xsi:type="dcterms:W3CDTF">2024-10-21T01:36:55Z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