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川林资许准（乐）〔2024〕101号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马边彝族自治县2024年第</w:t>
      </w:r>
      <w:r>
        <w:rPr>
          <w:rFonts w:hint="eastAsia" w:eastAsia="方正小标宋_GBK" w:cs="Times New Roman"/>
          <w:b w:val="0"/>
          <w:bCs w:val="0"/>
          <w:color w:val="auto"/>
          <w:w w:val="100"/>
          <w:sz w:val="44"/>
          <w:szCs w:val="44"/>
          <w:u w:val="none"/>
          <w:lang w:val="en-US" w:eastAsia="zh-CN"/>
        </w:rPr>
        <w:t>二</w:t>
      </w:r>
      <w:r>
        <w:rPr>
          <w:rFonts w:hint="default" w:ascii="Times New Roman" w:hAnsi="Times New Roman" w:eastAsia="方正小标宋_GBK" w:cs="Times New Roman"/>
          <w:b w:val="0"/>
          <w:bCs w:val="0"/>
          <w:color w:val="auto"/>
          <w:w w:val="100"/>
          <w:sz w:val="44"/>
          <w:szCs w:val="44"/>
          <w:u w:val="none"/>
          <w:lang w:val="en-US" w:eastAsia="zh-CN"/>
        </w:rPr>
        <w:t>季度</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农村宅基地项目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马边彝族自治县林业局</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准予“马边彝族自治县2024年第二季度农村宅基地项目”（项目代码：农村宅基地和建房（规划许可）审批表）占用乐山市林地1.8095公顷。按林地权属划分，国有0公顷、集体1.8095公顷；按行政区域划分，马边彝族自治县1.8095公顷（大竹堡乡0.0628公顷、高卓营乡0.0796公顷、建设镇0.2416公顷、劳动镇0.1217公顷、梅林镇0.1008公顷、民主镇0.7239公顷、荣丁镇0.0307公顷、三河口镇0.1858公顷、苏坝镇0.1482公顷、雪口山镇0.0213公顷、永红乡0.0801公顷、下溪镇0.0130公顷）。项目占用林地的具体位置、面积和用途，须与经审核上报的《马边彝族自治县2024年第二季度农村宅基地项目使用林地现状调查表</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严格</w:t>
      </w:r>
      <w:r>
        <w:rPr>
          <w:rFonts w:hint="eastAsia" w:ascii="仿宋" w:hAnsi="仿宋" w:eastAsia="仿宋" w:cs="仿宋"/>
          <w:color w:val="000000" w:themeColor="text1"/>
          <w:sz w:val="32"/>
          <w:szCs w:val="32"/>
          <w:u w:val="none"/>
          <w:lang w:val="en-US" w:eastAsia="zh-CN"/>
          <w14:textFill>
            <w14:solidFill>
              <w14:schemeClr w14:val="tx1"/>
            </w14:solidFill>
          </w14:textFill>
        </w:rPr>
        <w:t>按照</w:t>
      </w:r>
      <w:r>
        <w:rPr>
          <w:rFonts w:hint="eastAsia" w:ascii="仿宋" w:hAnsi="仿宋" w:eastAsia="仿宋" w:cs="仿宋"/>
          <w:color w:val="000000" w:themeColor="text1"/>
          <w:sz w:val="32"/>
          <w:szCs w:val="32"/>
          <w:u w:val="none"/>
          <w14:textFill>
            <w14:solidFill>
              <w14:schemeClr w14:val="tx1"/>
            </w14:solidFill>
          </w14:textFill>
        </w:rPr>
        <w:t>审核同意的用地红线范围</w:t>
      </w:r>
      <w:r>
        <w:rPr>
          <w:rFonts w:hint="eastAsia" w:ascii="仿宋" w:hAnsi="仿宋" w:eastAsia="仿宋" w:cs="仿宋"/>
          <w:color w:val="000000" w:themeColor="text1"/>
          <w:sz w:val="32"/>
          <w:szCs w:val="32"/>
          <w:u w:val="none"/>
          <w:lang w:val="en-US" w:eastAsia="zh-CN"/>
          <w14:textFill>
            <w14:solidFill>
              <w14:schemeClr w14:val="tx1"/>
            </w14:solidFill>
          </w14:textFill>
        </w:rPr>
        <w:t>进行</w:t>
      </w:r>
      <w:r>
        <w:rPr>
          <w:rFonts w:hint="eastAsia" w:ascii="仿宋" w:hAnsi="仿宋" w:eastAsia="仿宋" w:cs="仿宋"/>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 w:hAnsi="仿宋" w:eastAsia="仿宋" w:cs="仿宋"/>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u w:val="none"/>
          <w:lang w:val="en-US" w:eastAsia="zh-CN"/>
          <w14:textFill>
            <w14:solidFill>
              <w14:schemeClr w14:val="tx1"/>
            </w14:solidFill>
          </w14:textFill>
        </w:rPr>
        <w:t>施工必须依法规范管理，</w:t>
      </w:r>
      <w:r>
        <w:rPr>
          <w:rFonts w:hint="eastAsia" w:ascii="仿宋" w:hAnsi="仿宋" w:eastAsia="仿宋" w:cs="仿宋"/>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三、本</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涉及林木采伐，你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 w:hAnsi="仿宋" w:eastAsia="仿宋" w:cs="仿宋"/>
          <w:b w:val="0"/>
          <w:bCs w:val="0"/>
          <w:color w:val="000000" w:themeColor="text1"/>
          <w:sz w:val="32"/>
          <w:szCs w:val="32"/>
          <w:u w:val="none"/>
          <w:lang w:eastAsia="zh-CN"/>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从事</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五、</w:t>
      </w:r>
      <w:r>
        <w:rPr>
          <w:rFonts w:hint="eastAsia" w:ascii="仿宋" w:hAnsi="仿宋" w:eastAsia="仿宋" w:cs="仿宋"/>
          <w:color w:val="000000" w:themeColor="text1"/>
          <w:sz w:val="32"/>
          <w:szCs w:val="32"/>
          <w:highlight w:val="none"/>
          <w:u w:val="none"/>
          <w14:textFill>
            <w14:solidFill>
              <w14:schemeClr w14:val="tx1"/>
            </w14:solidFill>
          </w14:textFill>
        </w:rPr>
        <w:t>本</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决定书</w:t>
      </w:r>
      <w:r>
        <w:rPr>
          <w:rFonts w:hint="eastAsia" w:ascii="仿宋" w:hAnsi="仿宋" w:eastAsia="仿宋" w:cs="仿宋"/>
          <w:color w:val="000000" w:themeColor="text1"/>
          <w:sz w:val="32"/>
          <w:szCs w:val="32"/>
          <w:highlight w:val="none"/>
          <w:u w:val="none"/>
          <w14:textFill>
            <w14:solidFill>
              <w14:schemeClr w14:val="tx1"/>
            </w14:solidFill>
          </w14:textFill>
        </w:rPr>
        <w:t>仅作为</w:t>
      </w:r>
      <w:r>
        <w:rPr>
          <w:rFonts w:hint="eastAsia" w:ascii="仿宋" w:hAnsi="仿宋" w:eastAsia="仿宋" w:cs="仿宋"/>
          <w:color w:val="000000" w:themeColor="text1"/>
          <w:sz w:val="32"/>
          <w:szCs w:val="32"/>
          <w:highlight w:val="none"/>
          <w:u w:val="none"/>
          <w:lang w:eastAsia="zh-CN"/>
          <w14:textFill>
            <w14:solidFill>
              <w14:schemeClr w14:val="tx1"/>
            </w14:solidFill>
          </w14:textFill>
        </w:rPr>
        <w:t>该</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14:textFill>
            <w14:solidFill>
              <w14:schemeClr w14:val="tx1"/>
            </w14:solidFill>
          </w14:textFill>
        </w:rPr>
        <w:t>办理</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建设用地审批手续的依据，不是</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因</w:t>
      </w:r>
      <w:r>
        <w:rPr>
          <w:rFonts w:hint="eastAsia" w:ascii="仿宋" w:hAnsi="仿宋" w:eastAsia="仿宋" w:cs="仿宋"/>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 w:hAnsi="仿宋" w:eastAsia="仿宋" w:cs="仿宋"/>
          <w:color w:val="000000" w:themeColor="text1"/>
          <w:sz w:val="32"/>
          <w:szCs w:val="32"/>
          <w:highlight w:val="none"/>
          <w:u w:val="none"/>
          <w:lang w:eastAsia="zh-CN"/>
          <w14:textFill>
            <w14:solidFill>
              <w14:schemeClr w14:val="tx1"/>
            </w14:solidFill>
          </w14:textFill>
        </w:rPr>
        <w:t>等发生变更的，</w:t>
      </w:r>
      <w:r>
        <w:rPr>
          <w:rFonts w:hint="eastAsia" w:ascii="仿宋" w:hAnsi="仿宋" w:eastAsia="仿宋" w:cs="仿宋"/>
          <w:b w:val="0"/>
          <w:bCs w:val="0"/>
          <w:color w:val="000000" w:themeColor="text1"/>
          <w:kern w:val="2"/>
          <w:sz w:val="32"/>
          <w:szCs w:val="32"/>
          <w:u w:val="none"/>
          <w:lang w:val="en-US" w:eastAsia="zh-CN" w:bidi="ar-SA"/>
          <w14:textFill>
            <w14:solidFill>
              <w14:schemeClr w14:val="tx1"/>
            </w14:solidFill>
          </w14:textFill>
        </w:rPr>
        <w:t>你</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单位须</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 w:hAnsi="仿宋" w:eastAsia="仿宋" w:cs="仿宋"/>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 w:hAnsi="仿宋" w:eastAsia="仿宋" w:cs="仿宋"/>
          <w:color w:val="000000" w:themeColor="text1"/>
          <w:sz w:val="32"/>
          <w:szCs w:val="32"/>
          <w:u w:val="none"/>
          <w:lang w:val="en-US" w:eastAsia="zh-CN" w:bidi="ar-SA"/>
          <w14:textFill>
            <w14:solidFill>
              <w14:schemeClr w14:val="tx1"/>
            </w14:solidFill>
          </w14:textFill>
        </w:rPr>
        <w:t>乐山市林业和园林局</w:t>
      </w:r>
      <w:r>
        <w:rPr>
          <w:rFonts w:hint="eastAsia" w:ascii="仿宋" w:hAnsi="仿宋" w:eastAsia="仿宋" w:cs="仿宋"/>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 w:hAnsi="仿宋" w:eastAsia="仿宋" w:cs="仿宋"/>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四川省</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20</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年</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29</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rPr>
          <w:color w:val="000000" w:themeColor="text1"/>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然资源和规划局，马边县彝族自治县林业局。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99BC6A2-0223-4437-BD9B-926FC808E9CB}"/>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FC715395-5485-45F2-BAD0-5B095C10AC7A}"/>
  </w:font>
  <w:font w:name="仿宋">
    <w:panose1 w:val="02010609060101010101"/>
    <w:charset w:val="86"/>
    <w:family w:val="auto"/>
    <w:pitch w:val="default"/>
    <w:sig w:usb0="800002BF" w:usb1="38CF7CFA" w:usb2="00000016" w:usb3="00000000" w:csb0="00040001" w:csb1="00000000"/>
    <w:embedRegular r:id="rId3" w:fontKey="{EE8E7F7F-029D-4112-9CFB-1983FD02E611}"/>
  </w:font>
  <w:font w:name="仿宋_GB2312">
    <w:panose1 w:val="02010609030101010101"/>
    <w:charset w:val="86"/>
    <w:family w:val="auto"/>
    <w:pitch w:val="default"/>
    <w:sig w:usb0="00000001" w:usb1="080E0000" w:usb2="00000000" w:usb3="00000000" w:csb0="00040000" w:csb1="00000000"/>
    <w:embedRegular r:id="rId4" w:fontKey="{FE08B267-5A3B-4A99-8C54-DF0E82343FD9}"/>
  </w:font>
  <w:font w:name="方正小标宋简体">
    <w:panose1 w:val="02010601030101010101"/>
    <w:charset w:val="86"/>
    <w:family w:val="auto"/>
    <w:pitch w:val="default"/>
    <w:sig w:usb0="00000001" w:usb1="080E0000" w:usb2="00000000" w:usb3="00000000" w:csb0="00040000" w:csb1="00000000"/>
    <w:embedRegular r:id="rId5" w:fontKey="{E63B35F9-03AF-414A-8197-C7860A93A441}"/>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4187357"/>
    <w:rsid w:val="14676633"/>
    <w:rsid w:val="18B42CF3"/>
    <w:rsid w:val="208C39AB"/>
    <w:rsid w:val="23C62375"/>
    <w:rsid w:val="23E326B8"/>
    <w:rsid w:val="307D29C3"/>
    <w:rsid w:val="3B3C10D6"/>
    <w:rsid w:val="3DAA3A4B"/>
    <w:rsid w:val="43307086"/>
    <w:rsid w:val="4FA745C3"/>
    <w:rsid w:val="518E4531"/>
    <w:rsid w:val="5C5D420F"/>
    <w:rsid w:val="6C762C4F"/>
    <w:rsid w:val="76A7201A"/>
    <w:rsid w:val="77A079AA"/>
    <w:rsid w:val="77D6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1067</Words>
  <Characters>1157</Characters>
  <Lines>0</Lines>
  <Paragraphs>0</Paragraphs>
  <TotalTime>3</TotalTime>
  <ScaleCrop>false</ScaleCrop>
  <LinksUpToDate>false</LinksUpToDate>
  <CharactersWithSpaces>1185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2024-11-01T06:27:32Z</cp:lastPrinted>
  <dcterms:modified xsi:type="dcterms:W3CDTF">2024-11-01T07:07:12Z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