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川林资许准（乐）〔2024〕82号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eastAsia" w:ascii="仿宋" w:hAnsi="仿宋" w:eastAsia="仿宋" w:cs="仿宋"/>
          <w:b w:val="0"/>
          <w:bCs w:val="0"/>
          <w:color w:val="auto"/>
          <w:w w:val="9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eastAsia="zh-CN"/>
        </w:rPr>
        <w:t>关于准予</w:t>
      </w:r>
      <w:r>
        <w:rPr>
          <w:rFonts w:hint="eastAsia" w:ascii="方正小标宋简体" w:hAnsi="方正小标宋简体" w:eastAsia="方正小标宋简体" w:cs="方正小标宋简体"/>
          <w:b w:val="0"/>
          <w:bCs w:val="0"/>
          <w:color w:val="auto"/>
          <w:w w:val="100"/>
          <w:sz w:val="44"/>
          <w:szCs w:val="44"/>
          <w:u w:val="none"/>
          <w:lang w:val="en-US" w:eastAsia="zh-CN"/>
        </w:rPr>
        <w:t>乐山市市中区2024年度农村居民宅基地项目占用林地的行政许可决定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 w:hAnsi="仿宋" w:eastAsia="仿宋" w:cs="仿宋"/>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乐山市</w:t>
      </w:r>
      <w:bookmarkStart w:id="0" w:name="_GoBack"/>
      <w:bookmarkEnd w:id="0"/>
      <w:r>
        <w:rPr>
          <w:rFonts w:hint="eastAsia" w:ascii="仿宋" w:hAnsi="仿宋" w:eastAsia="仿宋" w:cs="仿宋"/>
          <w:b w:val="0"/>
          <w:bCs w:val="0"/>
          <w:color w:val="auto"/>
          <w:sz w:val="32"/>
          <w:szCs w:val="32"/>
          <w:u w:val="none"/>
          <w:lang w:val="en-US" w:eastAsia="zh-CN"/>
        </w:rPr>
        <w:t>市中区自然资源局</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乐山市市中区2024年度农村居民宅基地项目”（农村宅基地和建房（规划许可）审批表）占用乐山市林地1.8050公顷。按林地权属划分，国有0公顷、集体1.8050公顷；按行政区域划分，乐山市市中区1.8050公顷（白马镇0.3251公顷、剑峰镇0.3679公顷、茅桥镇0.1934公顷、牟子镇0.1583公顷、平兴镇0.1915公顷、青平镇0.0090公顷、苏稽镇0.1495公顷、土主镇0.2612公顷、悦来镇0.1491公顷）。项目</w:t>
      </w:r>
      <w:r>
        <w:rPr>
          <w:rFonts w:hint="eastAsia" w:ascii="仿宋" w:hAnsi="仿宋" w:eastAsia="仿宋" w:cs="仿宋"/>
          <w:b w:val="0"/>
          <w:bCs w:val="0"/>
          <w:color w:val="auto"/>
          <w:sz w:val="32"/>
          <w:szCs w:val="32"/>
          <w:u w:val="none"/>
          <w:lang w:val="en-US" w:eastAsia="zh-CN"/>
        </w:rPr>
        <w:t>占用林地的具体位置、面积和用途，须与经审核上报的《乐山市市中区2024年度农村居民宅基地项目使用林地现状调查表》一致。若准予的面积与全省新一轮林地保护利用规划的法定林地数据不一致，你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bidi="ar-SA"/>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涉及林木采伐，你单位须按照《中华人民共和国森林法》《中华人民共和国森林法实施条例》《四川省林木采伐管理办法》等规定办理相关手续。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eastAsia="zh-CN"/>
        </w:rPr>
        <w:t>单位从事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kern w:val="2"/>
          <w:sz w:val="32"/>
          <w:szCs w:val="32"/>
          <w:highlight w:val="none"/>
          <w:u w:val="none"/>
          <w:lang w:val="en-US" w:eastAsia="zh-CN" w:bidi="ar-SA"/>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spacing w:beforeLines="0" w:afterLines="0" w:line="570" w:lineRule="exact"/>
        <w:rPr>
          <w:rFonts w:hint="eastAsia" w:ascii="仿宋" w:hAnsi="仿宋" w:eastAsia="仿宋" w:cs="仿宋"/>
          <w:color w:val="auto"/>
          <w:sz w:val="32"/>
          <w:szCs w:val="32"/>
          <w:u w:val="none"/>
          <w:lang w:val="en-US" w:eastAsia="zh-CN"/>
        </w:rPr>
      </w:pPr>
    </w:p>
    <w:p>
      <w:pPr>
        <w:pStyle w:val="6"/>
        <w:spacing w:beforeLines="0" w:afterLines="0" w:line="570" w:lineRule="exact"/>
        <w:rPr>
          <w:rFonts w:hint="eastAsia" w:ascii="仿宋" w:hAnsi="仿宋" w:eastAsia="仿宋" w:cs="仿宋"/>
          <w:color w:val="auto"/>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16</w:t>
      </w:r>
      <w:r>
        <w:rPr>
          <w:rFonts w:hint="eastAsia" w:ascii="仿宋" w:hAnsi="仿宋" w:eastAsia="仿宋" w:cs="仿宋"/>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rPr>
          <w:rFonts w:hint="eastAsia" w:ascii="仿宋" w:hAnsi="仿宋" w:eastAsia="仿宋" w:cs="仿宋"/>
          <w:b w:val="0"/>
          <w:bCs w:val="0"/>
          <w:color w:val="auto"/>
          <w:spacing w:val="0"/>
          <w:sz w:val="28"/>
          <w:szCs w:val="28"/>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color w:val="auto"/>
          <w:spacing w:val="0"/>
          <w:sz w:val="28"/>
          <w:szCs w:val="28"/>
          <w:u w:val="single"/>
          <w:lang w:val="en-US" w:eastAsia="zh-CN"/>
        </w:rPr>
      </w:pPr>
      <w:r>
        <w:rPr>
          <w:rFonts w:hint="eastAsia" w:ascii="仿宋" w:hAnsi="仿宋" w:eastAsia="仿宋" w:cs="仿宋"/>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default" w:asciiTheme="majorEastAsia" w:hAnsiTheme="majorEastAsia" w:eastAsiaTheme="majorEastAsia" w:cstheme="majorEastAsia"/>
          <w:color w:val="auto"/>
          <w:sz w:val="28"/>
          <w:szCs w:val="28"/>
          <w:u w:val="single"/>
          <w:lang w:val="en-US"/>
        </w:rPr>
      </w:pPr>
      <w:r>
        <w:rPr>
          <w:rFonts w:hint="eastAsia" w:asciiTheme="majorEastAsia" w:hAnsiTheme="majorEastAsia" w:eastAsiaTheme="majorEastAsia" w:cstheme="majorEastAsia"/>
          <w:color w:val="auto"/>
          <w:spacing w:val="0"/>
          <w:sz w:val="28"/>
          <w:szCs w:val="28"/>
          <w:u w:val="single"/>
          <w:lang w:val="en-US" w:eastAsia="zh-CN"/>
        </w:rPr>
        <w:t xml:space="preserve">      自然资源和规划局，乐山市市中区自然资源局。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5DFCBF6-CCCF-4C13-B61E-4D416F57007E}"/>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8F5348D2-A834-46EA-9A71-1D9AB3B23901}"/>
  </w:font>
  <w:font w:name="仿宋">
    <w:panose1 w:val="02010609060101010101"/>
    <w:charset w:val="86"/>
    <w:family w:val="auto"/>
    <w:pitch w:val="default"/>
    <w:sig w:usb0="800002BF" w:usb1="38CF7CFA" w:usb2="00000016" w:usb3="00000000" w:csb0="00040001" w:csb1="00000000"/>
    <w:embedRegular r:id="rId3" w:fontKey="{5DFE2D4D-998C-446F-B282-42A1C13C293E}"/>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81EF6DC8-D871-4236-94A6-347AD472F422}"/>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3877801"/>
    <w:rsid w:val="11BE2C2D"/>
    <w:rsid w:val="1D9C03A1"/>
    <w:rsid w:val="269E4678"/>
    <w:rsid w:val="305A547B"/>
    <w:rsid w:val="3840776E"/>
    <w:rsid w:val="3ED42345"/>
    <w:rsid w:val="44BE3A56"/>
    <w:rsid w:val="45A939CB"/>
    <w:rsid w:val="4CA4668A"/>
    <w:rsid w:val="626565C5"/>
    <w:rsid w:val="6C762C4F"/>
    <w:rsid w:val="6F537CBB"/>
    <w:rsid w:val="7621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1026</Words>
  <Characters>1098</Characters>
  <Lines>0</Lines>
  <Paragraphs>0</Paragraphs>
  <TotalTime>16</TotalTime>
  <ScaleCrop>false</ScaleCrop>
  <LinksUpToDate>false</LinksUpToDate>
  <CharactersWithSpaces>1123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2024-10-16T08:35:00Z</cp:lastPrinted>
  <dcterms:modified xsi:type="dcterms:W3CDTF">2024-10-16T08:37:24Z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