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川林资许准（乐）〔2024〕118号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乐山市沙湾区亨利来石灰石厂矿山开采（二期）项目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乐山市沙湾区亨利来石灰石厂</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乐山市沙湾区亨利来石灰石厂矿山开采（二期）项目”（备案号：川投资备【2402-511111-04-01-317312】FGQB-0018号）占用乐山市林地6.9426公顷。按林地权属划分，国有0公顷、集体6.9426公顷；按行政区域划分，沙湾区6.9426公顷（福禄镇6.9426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乐山市沙湾区亨利来石灰石厂矿山开采（二期）项目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r>
        <w:rPr>
          <w:rFonts w:hint="eastAsia" w:ascii="仿宋_GB2312" w:hAnsi="仿宋_GB2312" w:eastAsia="仿宋_GB2312" w:cs="仿宋_GB2312"/>
          <w:color w:val="auto"/>
          <w:sz w:val="32"/>
          <w:szCs w:val="32"/>
          <w:u w:val="none"/>
          <w:lang w:eastAsia="zh-CN"/>
        </w:rPr>
        <w:t>要切实加强生态修复，坚持边开采边治理。</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 w:eastAsia="zh-CN"/>
        </w:rPr>
        <w:t>2</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heme="majorEastAsia" w:hAnsiTheme="majorEastAsia" w:eastAsiaTheme="majorEastAsia" w:cstheme="majorEastAsia"/>
          <w:b w:val="0"/>
          <w:bCs w:val="0"/>
          <w:color w:val="auto"/>
          <w:spacing w:val="0"/>
          <w:sz w:val="28"/>
          <w:szCs w:val="28"/>
          <w:u w:val="single"/>
          <w:lang w:val="en-US" w:eastAsia="zh-CN"/>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sz w:val="32"/>
          <w:szCs w:val="32"/>
        </w:rPr>
      </w:pPr>
      <w:r>
        <w:rPr>
          <w:rFonts w:hint="eastAsia" w:asciiTheme="majorEastAsia" w:hAnsiTheme="majorEastAsia" w:eastAsiaTheme="majorEastAsia" w:cstheme="majorEastAsia"/>
          <w:color w:val="auto"/>
          <w:spacing w:val="0"/>
          <w:sz w:val="28"/>
          <w:szCs w:val="28"/>
          <w:u w:val="single"/>
          <w:lang w:val="en-US" w:eastAsia="zh-CN"/>
        </w:rPr>
        <w:t xml:space="preserve">     自然资源和规划局，乐山市沙湾区自然资源局。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F0C7925-9580-43DB-BF5A-2254B297A95D}"/>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EC470FAD-0DD5-4A36-87FA-788A89CC283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DE85FA60-307E-4523-B631-64117F220A17}"/>
  </w:font>
  <w:font w:name="方正小标宋简体">
    <w:panose1 w:val="02010601030101010101"/>
    <w:charset w:val="86"/>
    <w:family w:val="auto"/>
    <w:pitch w:val="default"/>
    <w:sig w:usb0="00000001" w:usb1="080E0000" w:usb2="00000000" w:usb3="00000000" w:csb0="00040000" w:csb1="00000000"/>
    <w:embedRegular r:id="rId4" w:fontKey="{33E99DFC-082E-445E-864C-3A3BB9815815}"/>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FBF8623"/>
    <w:rsid w:val="14676633"/>
    <w:rsid w:val="18B42CF3"/>
    <w:rsid w:val="1A9F423A"/>
    <w:rsid w:val="1B6E2431"/>
    <w:rsid w:val="208C39AB"/>
    <w:rsid w:val="23C62375"/>
    <w:rsid w:val="307D29C3"/>
    <w:rsid w:val="3B3C10D6"/>
    <w:rsid w:val="3DAA3A4B"/>
    <w:rsid w:val="3DFFFE57"/>
    <w:rsid w:val="43307086"/>
    <w:rsid w:val="518E4531"/>
    <w:rsid w:val="5C5D420F"/>
    <w:rsid w:val="6C762C4F"/>
    <w:rsid w:val="6DFF45AB"/>
    <w:rsid w:val="6FAE6989"/>
    <w:rsid w:val="6FB7617E"/>
    <w:rsid w:val="76655F35"/>
    <w:rsid w:val="77D64CE8"/>
    <w:rsid w:val="7A5EF601"/>
    <w:rsid w:val="7FDD4A67"/>
    <w:rsid w:val="7FDEFB3C"/>
    <w:rsid w:val="7FFB437E"/>
    <w:rsid w:val="BBF37CCC"/>
    <w:rsid w:val="DDFEEA68"/>
    <w:rsid w:val="DE7D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1126</Characters>
  <Lines>0</Lines>
  <Paragraphs>0</Paragraphs>
  <TotalTime>0</TotalTime>
  <ScaleCrop>false</ScaleCrop>
  <LinksUpToDate>false</LinksUpToDate>
  <CharactersWithSpaces>1154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2024-08-31T17:59:00Z</dcterms:created>
  <dc:creator>涵 花 花 </dc:creator>
  <cp:lastModifiedBy>Administrator</cp:lastModifiedBy>
  <cp:lastPrinted>2024-11-26T09:48:00Z</cp:lastPrinted>
  <dcterms:modified xsi:type="dcterms:W3CDTF">2024-12-03T03:25:07Z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