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ajorEastAsia" w:hAnsiTheme="majorEastAsia" w:eastAsiaTheme="majorEastAsia" w:cstheme="majorEastAsia"/>
          <w:color w:val="000000" w:themeColor="text1"/>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w:t>
      </w:r>
      <w:bookmarkStart w:id="0" w:name="_GoBack"/>
      <w:bookmarkEnd w:id="0"/>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准（乐）〔2024〕147号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eastAsia="zh-CN"/>
        </w:rPr>
      </w:pPr>
      <w:r>
        <w:rPr>
          <w:rFonts w:hint="default" w:ascii="Times New Roman" w:hAnsi="Times New Roman" w:eastAsia="方正小标宋_GBK" w:cs="Times New Roman"/>
          <w:b w:val="0"/>
          <w:bCs w:val="0"/>
          <w:color w:val="auto"/>
          <w:w w:val="100"/>
          <w:sz w:val="44"/>
          <w:szCs w:val="44"/>
          <w:lang w:eastAsia="zh-CN"/>
        </w:rPr>
        <w:t>关于准予沐川县凤村河防洪治理工程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沐川县水利技术服务中心</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准予“沐川县凤村河防洪治理工程”（项目代码：2309-511129-04-01-</w:t>
      </w:r>
      <w:r>
        <w:rPr>
          <w:rFonts w:hint="eastAsia" w:ascii="仿宋_GB2312" w:hAnsi="仿宋_GB2312" w:eastAsia="仿宋_GB2312" w:cs="仿宋_GB2312"/>
          <w:b w:val="0"/>
          <w:bCs w:val="0"/>
          <w:color w:val="000000" w:themeColor="text1"/>
          <w:sz w:val="32"/>
          <w:szCs w:val="32"/>
          <w:highlight w:val="none"/>
          <w:u w:val="none"/>
          <w:lang w:val="en" w:eastAsia="zh-CN"/>
          <w14:textFill>
            <w14:solidFill>
              <w14:schemeClr w14:val="tx1"/>
            </w14:solidFill>
          </w14:textFill>
        </w:rPr>
        <w:t>975059</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）占用乐山市林地</w:t>
      </w:r>
      <w:r>
        <w:rPr>
          <w:rFonts w:hint="eastAsia" w:ascii="仿宋_GB2312" w:hAnsi="仿宋_GB2312" w:eastAsia="仿宋_GB2312" w:cs="仿宋_GB2312"/>
          <w:b w:val="0"/>
          <w:bCs w:val="0"/>
          <w:color w:val="000000" w:themeColor="text1"/>
          <w:sz w:val="32"/>
          <w:szCs w:val="32"/>
          <w:highlight w:val="none"/>
          <w:u w:val="none"/>
          <w:lang w:val="en" w:eastAsia="zh-CN"/>
          <w14:textFill>
            <w14:solidFill>
              <w14:schemeClr w14:val="tx1"/>
            </w14:solidFill>
          </w14:textFill>
        </w:rPr>
        <w:t>0.0543</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公顷。按林地权属划分，国有0公顷、集体</w:t>
      </w:r>
      <w:r>
        <w:rPr>
          <w:rFonts w:hint="eastAsia" w:ascii="仿宋_GB2312" w:hAnsi="仿宋_GB2312" w:eastAsia="仿宋_GB2312" w:cs="仿宋_GB2312"/>
          <w:b w:val="0"/>
          <w:bCs w:val="0"/>
          <w:color w:val="000000" w:themeColor="text1"/>
          <w:sz w:val="32"/>
          <w:szCs w:val="32"/>
          <w:highlight w:val="none"/>
          <w:u w:val="none"/>
          <w:lang w:val="en" w:eastAsia="zh-CN"/>
          <w14:textFill>
            <w14:solidFill>
              <w14:schemeClr w14:val="tx1"/>
            </w14:solidFill>
          </w14:textFill>
        </w:rPr>
        <w:t>0.0543</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公顷；按行政区域划分，沐川县</w:t>
      </w:r>
      <w:r>
        <w:rPr>
          <w:rFonts w:hint="eastAsia" w:ascii="仿宋_GB2312" w:hAnsi="仿宋_GB2312" w:eastAsia="仿宋_GB2312" w:cs="仿宋_GB2312"/>
          <w:b w:val="0"/>
          <w:bCs w:val="0"/>
          <w:color w:val="000000" w:themeColor="text1"/>
          <w:sz w:val="32"/>
          <w:szCs w:val="32"/>
          <w:highlight w:val="none"/>
          <w:u w:val="none"/>
          <w:lang w:val="en" w:eastAsia="zh-CN"/>
          <w14:textFill>
            <w14:solidFill>
              <w14:schemeClr w14:val="tx1"/>
            </w14:solidFill>
          </w14:textFill>
        </w:rPr>
        <w:t>0.0543</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公顷（利店镇0.0543公顷）。项目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占用林地的具体位置、面积和用途，须与经审核上报的《沐川县凤村河防洪治理工程使用林地现状调查表》一致。若准予的面积与全省新一轮林地保护利用规划的法定林地数据不一致，你单位须及时办理相关变更手续。</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u w:val="none"/>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须</w:t>
      </w:r>
      <w:r>
        <w:rPr>
          <w:rFonts w:hint="eastAsia" w:ascii="仿宋_GB2312" w:hAnsi="仿宋_GB2312" w:eastAsia="仿宋_GB2312" w:cs="仿宋_GB2312"/>
          <w:color w:val="000000" w:themeColor="text1"/>
          <w:sz w:val="32"/>
          <w:szCs w:val="32"/>
          <w:u w:val="none"/>
          <w14:textFill>
            <w14:solidFill>
              <w14:schemeClr w14:val="tx1"/>
            </w14:solidFill>
          </w14:textFill>
        </w:rPr>
        <w:t>严格</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按照</w:t>
      </w:r>
      <w:r>
        <w:rPr>
          <w:rFonts w:hint="eastAsia" w:ascii="仿宋_GB2312" w:hAnsi="仿宋_GB2312" w:eastAsia="仿宋_GB2312" w:cs="仿宋_GB2312"/>
          <w:color w:val="000000" w:themeColor="text1"/>
          <w:sz w:val="32"/>
          <w:szCs w:val="32"/>
          <w:u w:val="none"/>
          <w14:textFill>
            <w14:solidFill>
              <w14:schemeClr w14:val="tx1"/>
            </w14:solidFill>
          </w14:textFill>
        </w:rPr>
        <w:t>审核同意的用地红线范围</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施工必须依法规范管理，</w:t>
      </w:r>
      <w:r>
        <w:rPr>
          <w:rFonts w:hint="eastAsia" w:ascii="仿宋_GB2312" w:hAnsi="仿宋_GB2312" w:eastAsia="仿宋_GB2312" w:cs="仿宋_GB2312"/>
          <w:color w:val="000000" w:themeColor="text1"/>
          <w:sz w:val="32"/>
          <w:szCs w:val="32"/>
          <w:u w:val="none"/>
          <w14:textFill>
            <w14:solidFill>
              <w14:schemeClr w14:val="tx1"/>
            </w14:solidFill>
          </w14:textFill>
        </w:rPr>
        <w:t>严禁超范围占用林地，杜绝非法采伐、破坏植被等行为，严防森林火灾。</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三、本</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项目若</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涉及林木采伐，你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四、国家林业和草原局成都专员办及四川省林业和草原局等地方各级林草主管部门将依法对</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从事</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决定书</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仅作为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该</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办理</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建设用地审批手续的依据，不是</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开工建设和各类生态环境敏感区准入的依据。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因</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设计变更等导致所占用林地的位置、面积</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等发生变更的，</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单位须</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六、本决定书有效期为两年。</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在有效期内未取得建设用地批准文件且未申</w:t>
      </w:r>
      <w:r>
        <w:rPr>
          <w:rFonts w:hint="eastAsia" w:ascii="仿宋_GB2312" w:hAnsi="仿宋_GB2312" w:eastAsia="仿宋_GB2312" w:cs="仿宋_GB2312"/>
          <w:b w:val="0"/>
          <w:bCs w:val="0"/>
          <w:color w:val="000000" w:themeColor="text1"/>
          <w:spacing w:val="-6"/>
          <w:sz w:val="32"/>
          <w:szCs w:val="32"/>
          <w:u w:val="none"/>
          <w:lang w:val="en-US" w:eastAsia="zh-CN"/>
          <w14:textFill>
            <w14:solidFill>
              <w14:schemeClr w14:val="tx1"/>
            </w14:solidFill>
          </w14:textFill>
        </w:rPr>
        <w:t>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受四川省林业和草原局委托，本行政许可由</w:t>
      </w:r>
      <w:r>
        <w:rPr>
          <w:rFonts w:hint="eastAsia" w:ascii="仿宋_GB2312" w:hAnsi="仿宋_GB2312" w:eastAsia="仿宋_GB2312" w:cs="仿宋_GB2312"/>
          <w:color w:val="000000" w:themeColor="text1"/>
          <w:sz w:val="32"/>
          <w:szCs w:val="32"/>
          <w:u w:val="none"/>
          <w:lang w:val="en-US" w:eastAsia="zh-CN" w:bidi="ar-SA"/>
          <w14:textFill>
            <w14:solidFill>
              <w14:schemeClr w14:val="tx1"/>
            </w14:solidFill>
          </w14:textFill>
        </w:rPr>
        <w:t>乐山市林业和园林局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依法受理、审查和决定。</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四川省</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rPr>
          <w:rFonts w:hint="default" w:ascii="仿宋_GB2312" w:hAnsi="仿宋_GB2312" w:eastAsia="仿宋_GB2312" w:cs="仿宋_GB2312"/>
          <w:b w:val="0"/>
          <w:bCs w:val="0"/>
          <w:color w:val="000000" w:themeColor="text1"/>
          <w:sz w:val="32"/>
          <w:szCs w:val="32"/>
          <w:highlight w:val="none"/>
          <w:u w:val="singl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single"/>
          <w:lang w:val="en-US" w:eastAsia="zh-CN"/>
          <w14:textFill>
            <w14:solidFill>
              <w14:schemeClr w14:val="tx1"/>
            </w14:solidFill>
          </w14:textFill>
        </w:rPr>
        <w:t xml:space="preserve">                                                         </w:t>
      </w:r>
    </w:p>
    <w:p>
      <w:pPr>
        <w:pStyle w:val="7"/>
        <w:keepNext w:val="0"/>
        <w:keepLines w:val="0"/>
        <w:pageBreakBefore w:val="0"/>
        <w:widowControl w:val="0"/>
        <w:kinsoku/>
        <w:wordWrap/>
        <w:overflowPunct/>
        <w:topLinePunct w:val="0"/>
        <w:autoSpaceDE/>
        <w:autoSpaceDN/>
        <w:bidi w:val="0"/>
        <w:adjustRightInd/>
        <w:snapToGrid/>
        <w:spacing w:line="480" w:lineRule="exact"/>
        <w:ind w:left="840" w:leftChars="0" w:right="0" w:rightChars="0" w:hanging="840" w:hangingChars="300"/>
        <w:textAlignment w:val="auto"/>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t>抄送：</w:t>
      </w:r>
      <w:r>
        <w:rPr>
          <w:rFonts w:hint="eastAsia" w:asciiTheme="majorEastAsia" w:hAnsiTheme="majorEastAsia" w:eastAsiaTheme="majorEastAsia" w:cstheme="majorEastAsia"/>
          <w:color w:val="000000" w:themeColor="text1"/>
          <w:spacing w:val="0"/>
          <w:sz w:val="28"/>
          <w:szCs w:val="28"/>
          <w:u w:val="none"/>
          <w14:textFill>
            <w14:solidFill>
              <w14:schemeClr w14:val="tx1"/>
            </w14:solidFill>
          </w14:textFill>
        </w:rPr>
        <w:t>国家林业和草原局成都专员办，</w:t>
      </w:r>
      <w:r>
        <w:rPr>
          <w:rFonts w:hint="eastAsia" w:asciiTheme="majorEastAsia" w:hAnsiTheme="majorEastAsia" w:eastAsiaTheme="majorEastAsia" w:cstheme="majorEastAsia"/>
          <w:color w:val="000000" w:themeColor="text1"/>
          <w:spacing w:val="0"/>
          <w:sz w:val="28"/>
          <w:szCs w:val="28"/>
          <w:u w:val="none"/>
          <w:lang w:eastAsia="zh-CN"/>
          <w14:textFill>
            <w14:solidFill>
              <w14:schemeClr w14:val="tx1"/>
            </w14:solidFill>
          </w14:textFill>
        </w:rPr>
        <w:t>四川省</w:t>
      </w:r>
      <w:r>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t>林业和草原局，乐山市自</w:t>
      </w:r>
    </w:p>
    <w:p>
      <w:pPr>
        <w:pStyle w:val="7"/>
        <w:keepNext w:val="0"/>
        <w:keepLines w:val="0"/>
        <w:pageBreakBefore w:val="0"/>
        <w:widowControl w:val="0"/>
        <w:kinsoku/>
        <w:wordWrap/>
        <w:overflowPunct/>
        <w:topLinePunct w:val="0"/>
        <w:autoSpaceDE/>
        <w:autoSpaceDN/>
        <w:bidi w:val="0"/>
        <w:adjustRightInd/>
        <w:snapToGrid/>
        <w:spacing w:line="480" w:lineRule="exact"/>
        <w:ind w:left="840" w:leftChars="0" w:right="0" w:rightChars="0" w:hanging="840" w:hangingChars="300"/>
        <w:textAlignment w:val="auto"/>
        <w:rPr>
          <w:rFonts w:hint="default"/>
          <w:color w:val="000000" w:themeColor="text1"/>
          <w:u w:val="none"/>
          <w:lang w:val="en-US"/>
          <w14:textFill>
            <w14:solidFill>
              <w14:schemeClr w14:val="tx1"/>
            </w14:solidFill>
          </w14:textFill>
        </w:rPr>
      </w:pPr>
      <w:r>
        <w:rPr>
          <w:rFonts w:hint="eastAsia" w:asciiTheme="majorEastAsia" w:hAnsiTheme="majorEastAsia" w:eastAsiaTheme="majorEastAsia" w:cstheme="majorEastAsia"/>
          <w:color w:val="000000" w:themeColor="text1"/>
          <w:spacing w:val="0"/>
          <w:sz w:val="28"/>
          <w:szCs w:val="28"/>
          <w:u w:val="single"/>
          <w:lang w:val="en-US" w:eastAsia="zh-CN"/>
          <w14:textFill>
            <w14:solidFill>
              <w14:schemeClr w14:val="tx1"/>
            </w14:solidFill>
          </w14:textFill>
        </w:rPr>
        <w:t xml:space="preserve">      然资源和规划局，沐川县林业局。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BD3CBCB4-BCB4-4D70-8C62-38468B7243BA}"/>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1FA82475-01CF-4FC6-8014-B894E39DA3BE}"/>
  </w:font>
  <w:font w:name="方正小标宋简体">
    <w:panose1 w:val="02010601030101010101"/>
    <w:charset w:val="86"/>
    <w:family w:val="auto"/>
    <w:pitch w:val="default"/>
    <w:sig w:usb0="00000001" w:usb1="080E0000" w:usb2="00000000" w:usb3="00000000" w:csb0="00040000" w:csb1="00000000"/>
    <w:embedRegular r:id="rId3" w:fontKey="{6F321859-F868-4DAA-ADAB-09880C0E5604}"/>
  </w:font>
  <w:font w:name="华文仿宋">
    <w:panose1 w:val="02010600040101010101"/>
    <w:charset w:val="86"/>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061C62B3"/>
    <w:rsid w:val="124F223F"/>
    <w:rsid w:val="14676633"/>
    <w:rsid w:val="18B42CF3"/>
    <w:rsid w:val="1A9F423A"/>
    <w:rsid w:val="208C39AB"/>
    <w:rsid w:val="23C62375"/>
    <w:rsid w:val="29EAECD1"/>
    <w:rsid w:val="2C556FEB"/>
    <w:rsid w:val="2FAFCE8E"/>
    <w:rsid w:val="307D29C3"/>
    <w:rsid w:val="3B3C10D6"/>
    <w:rsid w:val="3DAA3A4B"/>
    <w:rsid w:val="3DFFFE57"/>
    <w:rsid w:val="43307086"/>
    <w:rsid w:val="4DE76D49"/>
    <w:rsid w:val="4FE36A9A"/>
    <w:rsid w:val="518E4531"/>
    <w:rsid w:val="55051857"/>
    <w:rsid w:val="5C5D420F"/>
    <w:rsid w:val="5D7FC8F8"/>
    <w:rsid w:val="5F6F872E"/>
    <w:rsid w:val="65FEDBE4"/>
    <w:rsid w:val="6C762C4F"/>
    <w:rsid w:val="6FAE6989"/>
    <w:rsid w:val="6FB7617E"/>
    <w:rsid w:val="6FF26E4C"/>
    <w:rsid w:val="71F8880E"/>
    <w:rsid w:val="75FF0AC2"/>
    <w:rsid w:val="76655F35"/>
    <w:rsid w:val="77D64CE8"/>
    <w:rsid w:val="7A5EF601"/>
    <w:rsid w:val="7DF7789C"/>
    <w:rsid w:val="7F6EFCE2"/>
    <w:rsid w:val="7FAFC213"/>
    <w:rsid w:val="7FB74CEA"/>
    <w:rsid w:val="7FDEFB3C"/>
    <w:rsid w:val="7FFB437E"/>
    <w:rsid w:val="7FFFA3D0"/>
    <w:rsid w:val="9FBD1C15"/>
    <w:rsid w:val="BEFE7976"/>
    <w:rsid w:val="BFF6DB8D"/>
    <w:rsid w:val="CBF22F75"/>
    <w:rsid w:val="DDFEEA68"/>
    <w:rsid w:val="DE2F15AC"/>
    <w:rsid w:val="DF3EB50B"/>
    <w:rsid w:val="DFB79524"/>
    <w:rsid w:val="DFF12045"/>
    <w:rsid w:val="E1AFBFA5"/>
    <w:rsid w:val="E35F1AFC"/>
    <w:rsid w:val="EF0DCA8B"/>
    <w:rsid w:val="F77CD7C1"/>
    <w:rsid w:val="FB383829"/>
    <w:rsid w:val="FF77BE15"/>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940</Words>
  <Characters>990</Characters>
  <Lines>0</Lines>
  <Paragraphs>0</Paragraphs>
  <TotalTime>2</TotalTime>
  <ScaleCrop>false</ScaleCrop>
  <LinksUpToDate>false</LinksUpToDate>
  <CharactersWithSpaces>1015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2024-09-02T01:59:00Z</dcterms:created>
  <dc:creator>涵 花 花 </dc:creator>
  <cp:lastModifiedBy>Administrator</cp:lastModifiedBy>
  <cp:lastPrinted>2024-12-25T07:24:56Z</cp:lastPrinted>
  <dcterms:modified xsi:type="dcterms:W3CDTF">2024-12-25T09:11:27Z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