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川林资许准（乐）〔2024〕186号</w:t>
      </w:r>
    </w:p>
    <w:p>
      <w:pPr>
        <w:pageBreakBefore w:val="0"/>
        <w:widowControl w:val="0"/>
        <w:kinsoku/>
        <w:wordWrap/>
        <w:overflowPunct/>
        <w:topLinePunct w:val="0"/>
        <w:autoSpaceDE/>
        <w:autoSpaceDN/>
        <w:bidi w:val="0"/>
        <w:spacing w:line="240" w:lineRule="auto"/>
        <w:ind w:left="0" w:leftChars="0" w:firstLine="0" w:firstLineChars="0"/>
        <w:rPr>
          <w:rFonts w:hint="default" w:ascii="Times New Roman" w:hAnsi="Times New Roman" w:eastAsia="黑体" w:cs="Times New Roman"/>
          <w:bCs/>
          <w:color w:val="000000"/>
          <w:sz w:val="21"/>
          <w:szCs w:val="21"/>
          <w:lang w:val="en-US" w:eastAsia="zh-CN"/>
        </w:rPr>
      </w:pPr>
      <w:r>
        <w:rPr>
          <w:rFonts w:hint="default" w:ascii="Times New Roman" w:hAnsi="Times New Roman" w:eastAsia="黑体" w:cs="Times New Roman"/>
          <w:bCs/>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r>
        <w:rPr>
          <w:rFonts w:hint="default" w:ascii="Times New Roman" w:hAnsi="Times New Roman" w:eastAsia="方正小标宋_GBK" w:cs="Times New Roman"/>
          <w:b w:val="0"/>
          <w:bCs w:val="0"/>
          <w:color w:val="000000"/>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r>
        <w:rPr>
          <w:rFonts w:hint="default" w:ascii="Times New Roman" w:hAnsi="Times New Roman" w:eastAsia="方正小标宋_GBK" w:cs="Times New Roman"/>
          <w:b w:val="0"/>
          <w:bCs w:val="0"/>
          <w:color w:val="000000"/>
          <w:w w:val="100"/>
          <w:sz w:val="44"/>
          <w:szCs w:val="44"/>
          <w:u w:val="none"/>
          <w:lang w:eastAsia="zh-CN"/>
        </w:rPr>
        <w:t>关于准予</w:t>
      </w:r>
      <w:r>
        <w:rPr>
          <w:rFonts w:hint="default" w:ascii="Times New Roman" w:hAnsi="Times New Roman" w:eastAsia="方正小标宋_GBK" w:cs="Times New Roman"/>
          <w:b w:val="0"/>
          <w:bCs w:val="0"/>
          <w:color w:val="000000"/>
          <w:w w:val="100"/>
          <w:sz w:val="44"/>
          <w:szCs w:val="44"/>
          <w:u w:val="none"/>
          <w:lang w:val="en-US" w:eastAsia="zh-CN"/>
        </w:rPr>
        <w:t>犍为顺意达建材有限公司矿山</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r>
        <w:rPr>
          <w:rFonts w:hint="default" w:ascii="Times New Roman" w:hAnsi="Times New Roman" w:eastAsia="方正小标宋_GBK" w:cs="Times New Roman"/>
          <w:b w:val="0"/>
          <w:bCs w:val="0"/>
          <w:color w:val="000000"/>
          <w:w w:val="100"/>
          <w:sz w:val="44"/>
          <w:szCs w:val="44"/>
          <w:u w:val="none"/>
          <w:lang w:val="en-US" w:eastAsia="zh-CN"/>
        </w:rPr>
        <w:t>开采项目占用林地的行政许可决定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left"/>
        <w:textAlignment w:val="auto"/>
        <w:rPr>
          <w:rFonts w:hint="eastAsia" w:ascii="仿宋" w:hAnsi="仿宋" w:eastAsia="仿宋" w:cs="仿宋"/>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0" w:firstLineChars="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犍为顺意达建材有限公司：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你公司提交的“矿藏勘查、开采以及其他各类工程建设占用林地新办审核（省级权限）”行政许可事项申请材料收悉。根据《中华人民共和国森林法》《中华人民共和国行政许可法》《建设项目使用林地审核审批管理办法》等规定，经审查，现作出如下行政许可决定。</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highlight w:val="none"/>
          <w:u w:val="none"/>
          <w:lang w:val="en-US" w:eastAsia="zh-CN"/>
        </w:rPr>
        <w:t>一、准予你“犍为顺意达建材有限公司矿山开采项目”</w:t>
      </w:r>
      <w:r>
        <w:rPr>
          <w:rFonts w:hint="eastAsia" w:ascii="仿宋" w:hAnsi="仿宋" w:eastAsia="仿宋" w:cs="仿宋"/>
          <w:b w:val="0"/>
          <w:bCs w:val="0"/>
          <w:color w:val="auto"/>
          <w:sz w:val="32"/>
          <w:szCs w:val="32"/>
          <w:u w:val="none"/>
          <w:lang w:val="en-US" w:eastAsia="zh-CN"/>
        </w:rPr>
        <w:t>（备案号：川投资备【2403-511123-04-01-551481】FGQB-0049号</w:t>
      </w:r>
      <w:r>
        <w:rPr>
          <w:rFonts w:hint="eastAsia" w:ascii="仿宋" w:hAnsi="仿宋" w:eastAsia="仿宋" w:cs="仿宋"/>
          <w:b w:val="0"/>
          <w:bCs w:val="0"/>
          <w:color w:val="auto"/>
          <w:spacing w:val="-20"/>
          <w:sz w:val="32"/>
          <w:szCs w:val="32"/>
          <w:highlight w:val="none"/>
          <w:u w:val="none"/>
          <w:lang w:val="en-US" w:eastAsia="zh-CN"/>
        </w:rPr>
        <w:t>）占</w:t>
      </w:r>
      <w:r>
        <w:rPr>
          <w:rFonts w:hint="eastAsia" w:ascii="仿宋" w:hAnsi="仿宋" w:eastAsia="仿宋" w:cs="仿宋"/>
          <w:b w:val="0"/>
          <w:bCs w:val="0"/>
          <w:color w:val="auto"/>
          <w:sz w:val="32"/>
          <w:szCs w:val="32"/>
          <w:highlight w:val="none"/>
          <w:u w:val="none"/>
          <w:lang w:val="en-US" w:eastAsia="zh-CN"/>
        </w:rPr>
        <w:t>用乐山市林地0.5788公顷。按林地权属划分，国有0公顷、集体0.5788公顷；按行政区域划分，犍为县0.5788公顷（玉津镇0.5788公顷）。项目</w:t>
      </w:r>
      <w:r>
        <w:rPr>
          <w:rFonts w:hint="eastAsia" w:ascii="仿宋" w:hAnsi="仿宋" w:eastAsia="仿宋" w:cs="仿宋"/>
          <w:b w:val="0"/>
          <w:bCs w:val="0"/>
          <w:color w:val="auto"/>
          <w:sz w:val="32"/>
          <w:szCs w:val="32"/>
          <w:u w:val="none"/>
          <w:lang w:val="en-US" w:eastAsia="zh-CN"/>
        </w:rPr>
        <w:t>占用林地的具体位置、面积和用途，须与经审核上报的《</w:t>
      </w:r>
      <w:r>
        <w:rPr>
          <w:rFonts w:hint="eastAsia" w:ascii="仿宋" w:hAnsi="仿宋" w:eastAsia="仿宋" w:cs="仿宋"/>
          <w:b w:val="0"/>
          <w:bCs w:val="0"/>
          <w:color w:val="auto"/>
          <w:sz w:val="32"/>
          <w:szCs w:val="32"/>
          <w:highlight w:val="none"/>
          <w:u w:val="none"/>
          <w:lang w:val="en-US" w:eastAsia="zh-CN"/>
        </w:rPr>
        <w:t>犍为顺意达建材有限公司矿山开采项目</w:t>
      </w:r>
      <w:r>
        <w:rPr>
          <w:rFonts w:hint="eastAsia" w:ascii="仿宋" w:hAnsi="仿宋" w:eastAsia="仿宋" w:cs="仿宋"/>
          <w:b w:val="0"/>
          <w:bCs w:val="0"/>
          <w:color w:val="auto"/>
          <w:sz w:val="32"/>
          <w:szCs w:val="32"/>
          <w:u w:val="none"/>
          <w:lang w:val="en-US" w:eastAsia="zh-CN"/>
        </w:rPr>
        <w:t>使用林地现状调查表》保持一致。若准予的面积与全省新一轮林地保护利用规划的法定林地数据不一致，你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公司</w:t>
      </w:r>
      <w:r>
        <w:rPr>
          <w:rFonts w:hint="eastAsia" w:ascii="仿宋" w:hAnsi="仿宋" w:eastAsia="仿宋" w:cs="仿宋"/>
          <w:b w:val="0"/>
          <w:bCs w:val="0"/>
          <w:color w:val="auto"/>
          <w:sz w:val="32"/>
          <w:szCs w:val="32"/>
          <w:u w:val="none"/>
          <w:lang w:val="en-US" w:eastAsia="zh-CN"/>
        </w:rPr>
        <w:t>应当及时办理相关变更手续。</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二</w:t>
      </w:r>
      <w:r>
        <w:rPr>
          <w:rFonts w:hint="eastAsia" w:ascii="仿宋" w:hAnsi="仿宋" w:eastAsia="仿宋" w:cs="仿宋"/>
          <w:b w:val="0"/>
          <w:bCs w:val="0"/>
          <w:color w:val="auto"/>
          <w:sz w:val="32"/>
          <w:szCs w:val="32"/>
          <w:u w:val="none"/>
        </w:rPr>
        <w:t>、你</w:t>
      </w:r>
      <w:r>
        <w:rPr>
          <w:rFonts w:hint="eastAsia" w:ascii="仿宋" w:hAnsi="仿宋" w:eastAsia="仿宋" w:cs="仿宋"/>
          <w:b w:val="0"/>
          <w:bCs w:val="0"/>
          <w:color w:val="auto"/>
          <w:sz w:val="32"/>
          <w:szCs w:val="32"/>
          <w:highlight w:val="none"/>
          <w:u w:val="none"/>
          <w:lang w:val="en-US" w:eastAsia="zh-CN"/>
        </w:rPr>
        <w:t>公司</w:t>
      </w:r>
      <w:r>
        <w:rPr>
          <w:rFonts w:hint="eastAsia" w:ascii="仿宋" w:hAnsi="仿宋" w:eastAsia="仿宋" w:cs="仿宋"/>
          <w:b w:val="0"/>
          <w:bCs w:val="0"/>
          <w:color w:val="auto"/>
          <w:sz w:val="32"/>
          <w:szCs w:val="32"/>
          <w:u w:val="none"/>
          <w:lang w:val="en-US" w:eastAsia="zh-CN"/>
        </w:rPr>
        <w:t>须</w:t>
      </w:r>
      <w:r>
        <w:rPr>
          <w:rFonts w:hint="eastAsia" w:ascii="仿宋" w:hAnsi="仿宋" w:eastAsia="仿宋" w:cs="仿宋"/>
          <w:b w:val="0"/>
          <w:bCs w:val="0"/>
          <w:color w:val="auto"/>
          <w:sz w:val="32"/>
          <w:szCs w:val="32"/>
          <w:u w:val="none"/>
        </w:rPr>
        <w:t>严格</w:t>
      </w:r>
      <w:r>
        <w:rPr>
          <w:rFonts w:hint="eastAsia" w:ascii="仿宋" w:hAnsi="仿宋" w:eastAsia="仿宋" w:cs="仿宋"/>
          <w:b w:val="0"/>
          <w:bCs w:val="0"/>
          <w:color w:val="auto"/>
          <w:sz w:val="32"/>
          <w:szCs w:val="32"/>
          <w:u w:val="none"/>
          <w:lang w:val="en-US" w:eastAsia="zh-CN"/>
        </w:rPr>
        <w:t>按照</w:t>
      </w:r>
      <w:r>
        <w:rPr>
          <w:rFonts w:hint="eastAsia" w:ascii="仿宋" w:hAnsi="仿宋" w:eastAsia="仿宋" w:cs="仿宋"/>
          <w:b w:val="0"/>
          <w:bCs w:val="0"/>
          <w:color w:val="auto"/>
          <w:sz w:val="32"/>
          <w:szCs w:val="32"/>
          <w:u w:val="none"/>
        </w:rPr>
        <w:t>审核同意的用地红线范围</w:t>
      </w:r>
      <w:r>
        <w:rPr>
          <w:rFonts w:hint="eastAsia" w:ascii="仿宋" w:hAnsi="仿宋" w:eastAsia="仿宋" w:cs="仿宋"/>
          <w:b w:val="0"/>
          <w:bCs w:val="0"/>
          <w:color w:val="auto"/>
          <w:sz w:val="32"/>
          <w:szCs w:val="32"/>
          <w:u w:val="none"/>
          <w:lang w:val="en-US" w:eastAsia="zh-CN"/>
        </w:rPr>
        <w:t>进行</w:t>
      </w:r>
      <w:r>
        <w:rPr>
          <w:rFonts w:hint="eastAsia" w:ascii="仿宋" w:hAnsi="仿宋" w:eastAsia="仿宋" w:cs="仿宋"/>
          <w:b w:val="0"/>
          <w:bCs w:val="0"/>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施工必须依法规范管理，</w:t>
      </w:r>
      <w:r>
        <w:rPr>
          <w:rFonts w:hint="eastAsia" w:ascii="仿宋" w:hAnsi="仿宋" w:eastAsia="仿宋" w:cs="仿宋"/>
          <w:b w:val="0"/>
          <w:bCs w:val="0"/>
          <w:color w:val="auto"/>
          <w:sz w:val="32"/>
          <w:szCs w:val="32"/>
          <w:u w:val="none"/>
        </w:rPr>
        <w:t>严禁超范围占用林地，杜绝非法采伐、破坏植被等行为，严防森林火灾。</w:t>
      </w:r>
      <w:r>
        <w:rPr>
          <w:rFonts w:hint="eastAsia" w:ascii="仿宋" w:hAnsi="仿宋" w:eastAsia="仿宋" w:cs="仿宋"/>
          <w:b w:val="0"/>
          <w:bCs w:val="0"/>
          <w:color w:val="auto"/>
          <w:sz w:val="32"/>
          <w:szCs w:val="32"/>
          <w:highlight w:val="none"/>
          <w:u w:val="none"/>
          <w:lang w:val="en-US" w:eastAsia="zh-CN" w:bidi="ar-SA"/>
        </w:rPr>
        <w:t>要切实加强生态修复，坚持边开采边治理。</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b w:val="0"/>
          <w:bCs w:val="0"/>
          <w:color w:val="auto"/>
          <w:sz w:val="32"/>
          <w:szCs w:val="32"/>
          <w:highlight w:val="none"/>
          <w:u w:val="none"/>
          <w:lang w:val="en-US" w:eastAsia="zh-CN"/>
        </w:rPr>
        <w:t>公司</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val="0"/>
        <w:spacing w:line="58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val="en-US" w:eastAsia="zh-CN"/>
        </w:rPr>
        <w:t>公司</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highlight w:val="none"/>
          <w:u w:val="none"/>
          <w:lang w:val="en-US" w:eastAsia="zh-CN"/>
        </w:rPr>
        <w:t>五、</w:t>
      </w:r>
      <w:r>
        <w:rPr>
          <w:rFonts w:hint="eastAsia" w:ascii="仿宋" w:hAnsi="仿宋" w:eastAsia="仿宋" w:cs="仿宋"/>
          <w:b w:val="0"/>
          <w:bCs w:val="0"/>
          <w:color w:val="auto"/>
          <w:sz w:val="32"/>
          <w:szCs w:val="32"/>
          <w:highlight w:val="none"/>
          <w:u w:val="none"/>
        </w:rPr>
        <w:t>本</w:t>
      </w:r>
      <w:r>
        <w:rPr>
          <w:rFonts w:hint="eastAsia" w:ascii="仿宋" w:hAnsi="仿宋" w:eastAsia="仿宋" w:cs="仿宋"/>
          <w:b w:val="0"/>
          <w:bCs w:val="0"/>
          <w:color w:val="auto"/>
          <w:sz w:val="32"/>
          <w:szCs w:val="32"/>
          <w:highlight w:val="none"/>
          <w:u w:val="none"/>
          <w:lang w:val="en-US" w:eastAsia="zh-CN"/>
        </w:rPr>
        <w:t>决定书</w:t>
      </w:r>
      <w:r>
        <w:rPr>
          <w:rFonts w:hint="eastAsia" w:ascii="仿宋" w:hAnsi="仿宋" w:eastAsia="仿宋" w:cs="仿宋"/>
          <w:b w:val="0"/>
          <w:bCs w:val="0"/>
          <w:color w:val="auto"/>
          <w:sz w:val="32"/>
          <w:szCs w:val="32"/>
          <w:highlight w:val="none"/>
          <w:u w:val="none"/>
        </w:rPr>
        <w:t>仅作为</w:t>
      </w:r>
      <w:r>
        <w:rPr>
          <w:rFonts w:hint="eastAsia" w:ascii="仿宋" w:hAnsi="仿宋" w:eastAsia="仿宋" w:cs="仿宋"/>
          <w:b w:val="0"/>
          <w:bCs w:val="0"/>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rPr>
        <w:t>办理</w:t>
      </w:r>
      <w:r>
        <w:rPr>
          <w:rFonts w:hint="eastAsia" w:ascii="仿宋" w:hAnsi="仿宋" w:eastAsia="仿宋" w:cs="仿宋"/>
          <w:b w:val="0"/>
          <w:bCs w:val="0"/>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eastAsia="zh-CN"/>
        </w:rPr>
        <w:t>开工建设和各类生态环境敏感区准入的依据。</w:t>
      </w:r>
      <w:r>
        <w:rPr>
          <w:rFonts w:hint="eastAsia" w:ascii="仿宋" w:hAnsi="仿宋" w:eastAsia="仿宋" w:cs="仿宋"/>
          <w:b w:val="0"/>
          <w:bCs w:val="0"/>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设计变更等导致所占用林地的位置、面积</w:t>
      </w:r>
      <w:r>
        <w:rPr>
          <w:rFonts w:hint="eastAsia" w:ascii="仿宋" w:hAnsi="仿宋" w:eastAsia="仿宋" w:cs="仿宋"/>
          <w:b w:val="0"/>
          <w:bCs w:val="0"/>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sz w:val="32"/>
          <w:szCs w:val="32"/>
          <w:highlight w:val="none"/>
          <w:u w:val="none"/>
          <w:lang w:val="en-US" w:eastAsia="zh-CN"/>
        </w:rPr>
        <w:t>公司须</w:t>
      </w:r>
      <w:r>
        <w:rPr>
          <w:rFonts w:hint="eastAsia" w:ascii="仿宋" w:hAnsi="仿宋" w:eastAsia="仿宋" w:cs="仿宋"/>
          <w:b w:val="0"/>
          <w:bCs w:val="0"/>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受四川省林业和草原局委托，本行政许可由</w:t>
      </w:r>
      <w:r>
        <w:rPr>
          <w:rFonts w:hint="eastAsia" w:ascii="仿宋" w:hAnsi="仿宋" w:eastAsia="仿宋" w:cs="仿宋"/>
          <w:b w:val="0"/>
          <w:bCs w:val="0"/>
          <w:color w:val="auto"/>
          <w:sz w:val="32"/>
          <w:szCs w:val="32"/>
          <w:u w:val="none"/>
          <w:lang w:val="en-US" w:eastAsia="zh-CN" w:bidi="ar-SA"/>
        </w:rPr>
        <w:t>乐山市林业和园林局</w:t>
      </w:r>
      <w:r>
        <w:rPr>
          <w:rFonts w:hint="eastAsia" w:ascii="仿宋" w:hAnsi="仿宋" w:eastAsia="仿宋" w:cs="仿宋"/>
          <w:b w:val="0"/>
          <w:bCs w:val="0"/>
          <w:color w:val="auto"/>
          <w:sz w:val="32"/>
          <w:szCs w:val="32"/>
          <w:u w:val="none"/>
          <w:lang w:val="en-US" w:eastAsia="zh-CN"/>
        </w:rPr>
        <w:t>依法受理、审查和决定。</w:t>
      </w:r>
    </w:p>
    <w:p>
      <w:pPr>
        <w:keepNext w:val="0"/>
        <w:keepLines w:val="0"/>
        <w:pageBreakBefore w:val="0"/>
        <w:kinsoku/>
        <w:wordWrap/>
        <w:overflowPunct/>
        <w:topLinePunct w:val="0"/>
        <w:autoSpaceDE/>
        <w:autoSpaceDN/>
        <w:bidi w:val="0"/>
        <w:adjustRightInd/>
        <w:snapToGrid w:val="0"/>
        <w:spacing w:line="580" w:lineRule="exact"/>
        <w:textAlignment w:val="auto"/>
        <w:rPr>
          <w:rFonts w:hint="eastAsia" w:ascii="仿宋" w:hAnsi="仿宋" w:eastAsia="仿宋" w:cs="仿宋"/>
          <w:b w:val="0"/>
          <w:bCs w:val="0"/>
          <w:color w:val="auto"/>
          <w:sz w:val="32"/>
          <w:szCs w:val="32"/>
          <w:u w:val="none"/>
          <w:lang w:val="en-US" w:eastAsia="zh-CN"/>
        </w:rPr>
      </w:pPr>
    </w:p>
    <w:p>
      <w:pPr>
        <w:pStyle w:val="7"/>
        <w:keepNext w:val="0"/>
        <w:keepLines w:val="0"/>
        <w:pageBreakBefore w:val="0"/>
        <w:kinsoku/>
        <w:wordWrap/>
        <w:overflowPunct/>
        <w:topLinePunct w:val="0"/>
        <w:autoSpaceDE/>
        <w:autoSpaceDN/>
        <w:bidi w:val="0"/>
        <w:adjustRightInd/>
        <w:snapToGrid w:val="0"/>
        <w:spacing w:after="0" w:line="580" w:lineRule="exact"/>
        <w:textAlignment w:val="auto"/>
        <w:rPr>
          <w:rFonts w:hint="eastAsia" w:ascii="仿宋" w:hAnsi="仿宋" w:eastAsia="仿宋" w:cs="仿宋"/>
          <w:b w:val="0"/>
          <w:bCs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12</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31</w:t>
      </w:r>
      <w:r>
        <w:rPr>
          <w:rFonts w:hint="eastAsia" w:ascii="仿宋" w:hAnsi="仿宋" w:eastAsia="仿宋" w:cs="仿宋"/>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val="0"/>
        <w:spacing w:after="0" w:line="580" w:lineRule="exact"/>
        <w:ind w:left="0" w:leftChars="0" w:right="0" w:rightChars="0" w:firstLine="0" w:firstLineChars="0"/>
        <w:textAlignment w:val="auto"/>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p>
    <w:p>
      <w:pPr>
        <w:rPr>
          <w:rFonts w:hint="eastAsia" w:ascii="仿宋" w:hAnsi="仿宋" w:eastAsia="仿宋" w:cs="仿宋"/>
          <w:b w:val="0"/>
          <w:bCs w:val="0"/>
          <w:color w:val="auto"/>
          <w:sz w:val="32"/>
          <w:szCs w:val="32"/>
          <w:u w:val="none"/>
        </w:r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val="0"/>
        <w:spacing w:after="0" w:line="580" w:lineRule="exact"/>
        <w:ind w:left="960" w:leftChars="0" w:right="0" w:rightChars="0" w:hanging="960" w:hangingChars="300"/>
        <w:textAlignment w:val="auto"/>
        <w:rPr>
          <w:rFonts w:hint="default" w:ascii="仿宋" w:hAnsi="仿宋" w:eastAsia="仿宋" w:cs="仿宋"/>
          <w:b w:val="0"/>
          <w:bCs w:val="0"/>
          <w:color w:val="auto"/>
          <w:spacing w:val="0"/>
          <w:sz w:val="32"/>
          <w:szCs w:val="32"/>
          <w:u w:val="single"/>
          <w:lang w:val="en-US" w:eastAsia="zh-CN"/>
        </w:rPr>
      </w:pPr>
      <w:r>
        <w:rPr>
          <w:rFonts w:hint="eastAsia" w:ascii="仿宋" w:hAnsi="仿宋" w:eastAsia="仿宋" w:cs="仿宋"/>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spacing w:after="0" w:line="580" w:lineRule="exact"/>
        <w:ind w:left="840" w:leftChars="0" w:right="0" w:rightChars="0" w:hanging="840" w:hangingChars="300"/>
        <w:textAlignment w:val="auto"/>
        <w:rPr>
          <w:rFonts w:hint="eastAsia" w:asciiTheme="majorEastAsia" w:hAnsiTheme="majorEastAsia" w:eastAsiaTheme="majorEastAsia" w:cstheme="majorEastAsia"/>
          <w:b w:val="0"/>
          <w:bCs w:val="0"/>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抄送：国家林业和草原局成都专员办，</w:t>
      </w:r>
      <w:r>
        <w:rPr>
          <w:rFonts w:hint="eastAsia" w:asciiTheme="majorEastAsia" w:hAnsiTheme="majorEastAsia" w:eastAsiaTheme="majorEastAsia" w:cstheme="majorEastAsia"/>
          <w:b w:val="0"/>
          <w:bCs w:val="0"/>
          <w:color w:val="auto"/>
          <w:spacing w:val="0"/>
          <w:sz w:val="28"/>
          <w:szCs w:val="28"/>
          <w:u w:val="none"/>
          <w:lang w:eastAsia="zh-CN"/>
        </w:rPr>
        <w:t>四川省</w:t>
      </w:r>
      <w:r>
        <w:rPr>
          <w:rFonts w:hint="eastAsia" w:asciiTheme="majorEastAsia" w:hAnsiTheme="majorEastAsia" w:eastAsiaTheme="majorEastAsia" w:cstheme="majorEastAsia"/>
          <w:b w:val="0"/>
          <w:bCs w:val="0"/>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val="0"/>
        <w:spacing w:after="0" w:line="580" w:lineRule="exact"/>
        <w:ind w:left="840" w:leftChars="0" w:right="0" w:rightChars="0" w:hanging="840" w:hangingChars="300"/>
        <w:textAlignment w:val="auto"/>
        <w:rPr>
          <w:rFonts w:hint="eastAsia" w:ascii="仿宋" w:hAnsi="仿宋" w:eastAsia="仿宋" w:cs="仿宋"/>
          <w:b w:val="0"/>
          <w:bCs w:val="0"/>
          <w:color w:val="auto"/>
          <w:sz w:val="32"/>
          <w:szCs w:val="32"/>
          <w:u w:val="none"/>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然资源和规划局，犍为县自然资源局。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08A205-A2C9-4108-A2C9-EDB6CE2E0E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B7330A6F-361A-45BE-A5BA-A4BA44BB5B83}"/>
  </w:font>
  <w:font w:name="仿宋">
    <w:panose1 w:val="02010609060101010101"/>
    <w:charset w:val="86"/>
    <w:family w:val="modern"/>
    <w:pitch w:val="default"/>
    <w:sig w:usb0="800002BF" w:usb1="38CF7CFA" w:usb2="00000016" w:usb3="00000000" w:csb0="00040001" w:csb1="00000000"/>
    <w:embedRegular r:id="rId3" w:fontKey="{8AA7B424-F374-4B9C-8CC3-9407AB129FA3}"/>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23850D41"/>
    <w:rsid w:val="00464D20"/>
    <w:rsid w:val="051D52C4"/>
    <w:rsid w:val="0CD11286"/>
    <w:rsid w:val="1F7D42CF"/>
    <w:rsid w:val="23850D41"/>
    <w:rsid w:val="2DC014B3"/>
    <w:rsid w:val="4CB65384"/>
    <w:rsid w:val="65E14BF6"/>
    <w:rsid w:val="70E7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FangSong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w:basedOn w:val="1"/>
    <w:qFormat/>
    <w:uiPriority w:val="0"/>
    <w:pPr>
      <w:spacing w:line="560" w:lineRule="exact"/>
      <w:jc w:val="center"/>
    </w:pPr>
    <w:rPr>
      <w:rFonts w:ascii="方正小标宋_GBK" w:eastAsia="方正小标宋_GBK"/>
      <w:bCs/>
      <w:sz w:val="36"/>
    </w:rPr>
  </w:style>
  <w:style w:type="paragraph" w:styleId="4">
    <w:name w:val="Body Text Indent"/>
    <w:basedOn w:val="1"/>
    <w:next w:val="2"/>
    <w:qFormat/>
    <w:uiPriority w:val="0"/>
    <w:pPr>
      <w:spacing w:line="640" w:lineRule="exact"/>
      <w:ind w:firstLine="615"/>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spacing w:after="120" w:line="240" w:lineRule="auto"/>
      <w:ind w:left="420" w:leftChars="200" w:firstLine="420" w:firstLineChars="200"/>
    </w:pPr>
    <w:rPr>
      <w:rFonts w:ascii="Calibri" w:hAnsi="Calibri" w:eastAsia="Times New Roman" w:cs="Times New Roman"/>
      <w:b/>
      <w:sz w:val="21"/>
      <w:szCs w:val="24"/>
      <w:lang w:eastAsia="en-US"/>
    </w:r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967</Words>
  <Characters>1024</Characters>
  <Lines>0</Lines>
  <Paragraphs>0</Paragraphs>
  <TotalTime>0</TotalTime>
  <ScaleCrop>false</ScaleCrop>
  <LinksUpToDate>false</LinksUpToDate>
  <CharactersWithSpaces>1055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2024-03-28T01:48:00Z</dcterms:created>
  <dc:creator>涵 花 花 </dc:creator>
  <cp:lastModifiedBy>Administrator</cp:lastModifiedBy>
  <cp:lastPrinted>2024-04-29T08:27:00Z</cp:lastPrinted>
  <dcterms:modified xsi:type="dcterms:W3CDTF">2025-01-07T02:40:21Z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9FC66DD727A84FFCB7B048E2DF90FEA1_11</vt:lpwstr>
  </property>
</Properties>
</file>