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川林资许准（乐）〔2024〕151号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关于准予乐山犍为寿保、九井、玉屏35KV</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输变电新建工程</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eastAsia="华文仿宋" w:cs="Times New Roman"/>
          <w:b w:val="0"/>
          <w:bCs w:val="0"/>
          <w:color w:val="000000" w:themeColor="text1"/>
          <w:sz w:val="32"/>
          <w:szCs w:val="32"/>
          <w:u w:val="none"/>
          <w:lang w:val="en-US" w:eastAsia="zh-CN"/>
          <w14:textFill>
            <w14:solidFill>
              <w14:schemeClr w14:val="tx1"/>
            </w14:solidFill>
          </w14:textFill>
        </w:rPr>
        <w:t>乐山川犍电力有限责任公司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准予“乐山犍为寿保、九井、玉屏35KV输变电新建工程”（</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项目代码：2401-511123-04-01-116036</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占用</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乐山市</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林地</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3.9825</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公顷。按林地权属划分，国有</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公顷、集体</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3.9825</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公顷；按行政区域划分，</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犍为县3.9825</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玉津镇0.6223公顷、清溪镇0.3207公顷、龙孔镇1.4409公顷、玉屏镇0.7576公顷、九井镇0.8410公顷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占用林地的具体位置、面积和用途，须与经审核上报的《乐山犍为寿保、九井、玉屏35KV输变电新建工程</w:t>
      </w:r>
      <w:r>
        <w:rPr>
          <w:rFonts w:hint="eastAsia" w:eastAsia="仿宋_GB2312" w:cs="Times New Roman"/>
          <w:b w:val="0"/>
          <w:bCs w:val="0"/>
          <w:color w:val="000000" w:themeColor="text1"/>
          <w:sz w:val="32"/>
          <w:szCs w:val="32"/>
          <w:u w:val="none"/>
          <w:lang w:val="en-US" w:eastAsia="zh-CN"/>
          <w14:textFill>
            <w14:solidFill>
              <w14:schemeClr w14:val="tx1"/>
            </w14:solidFill>
          </w14:textFill>
        </w:rPr>
        <w:t>使用</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可行性报告</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w:t>
      </w:r>
      <w:r>
        <w:rPr>
          <w:rFonts w:hint="eastAsia" w:eastAsia="仿宋_GB2312" w:cs="Times New Roman"/>
          <w:b w:val="0"/>
          <w:bCs w:val="0"/>
          <w:color w:val="000000" w:themeColor="text1"/>
          <w:sz w:val="32"/>
          <w:szCs w:val="32"/>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须及时办理相关变更手续。</w:t>
      </w:r>
    </w:p>
    <w:p>
      <w:pPr>
        <w:spacing w:beforeLines="0" w:afterLines="0" w:line="57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eastAsia"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u w:val="none"/>
          <w14:textFill>
            <w14:solidFill>
              <w14:schemeClr w14:val="tx1"/>
            </w14:solidFill>
          </w14:textFill>
        </w:rPr>
        <w:t>严格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14:textFill>
            <w14:solidFill>
              <w14:schemeClr w14:val="tx1"/>
            </w14:solidFill>
          </w14:textFill>
        </w:rPr>
        <w:t>审核同意的用地红线范围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施工必须依法规范管理，</w:t>
      </w:r>
      <w:r>
        <w:rPr>
          <w:rFonts w:hint="default" w:ascii="Times New Roman" w:hAnsi="Times New Roman" w:eastAsia="仿宋_GB2312" w:cs="Times New Roman"/>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项目若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涉及林木采伐，你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、国家林业和草原局成都专员办及四川省林业和草原局等地方各级林草主管部门将依法对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决定书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仅作为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建设用地审批手续的依据，不是</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开工建设和各类生态环境敏感区准入的依据。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因</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设计变更等导致所占用林地的位置、面积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等发生变更的，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六</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、本决定书有效期为两年。</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bookmarkStart w:id="0" w:name="_GoBack"/>
      <w:bookmarkEnd w:id="0"/>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受四川省林业和草原局委托，本行政许可由</w:t>
      </w:r>
      <w:r>
        <w:rPr>
          <w:rFonts w:hint="eastAsia" w:eastAsia="仿宋_GB2312" w:cs="Times New Roman"/>
          <w:color w:val="000000" w:themeColor="text1"/>
          <w:sz w:val="32"/>
          <w:szCs w:val="32"/>
          <w:u w:val="none"/>
          <w:lang w:val="en-US" w:eastAsia="zh-CN" w:bidi="ar-SA"/>
          <w14:textFill>
            <w14:solidFill>
              <w14:schemeClr w14:val="tx1"/>
            </w14:solidFill>
          </w14:textFill>
        </w:rPr>
        <w:t>乐山市林业和园林局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default" w:ascii="Times New Roman" w:hAnsi="Times New Roman" w:eastAsia="仿宋_GB2312" w:cs="Times New Roman"/>
          <w:color w:val="000000" w:themeColor="text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25</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color w:val="000000" w:themeColor="text1"/>
          <w:u w:val="none"/>
          <w:lang w:val="en-US"/>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然资源和规划局，犍为县自然资源局。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29A4725A-CB67-4892-8CE9-87C4E6BB03D7}"/>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DBEB6EB-0DF3-463A-A0F6-570958C50845}"/>
  </w:font>
  <w:font w:name="方正小标宋简体">
    <w:panose1 w:val="02010601030101010101"/>
    <w:charset w:val="86"/>
    <w:family w:val="auto"/>
    <w:pitch w:val="default"/>
    <w:sig w:usb0="00000001" w:usb1="080E0000" w:usb2="00000000" w:usb3="00000000" w:csb0="00040000" w:csb1="00000000"/>
    <w:embedRegular r:id="rId3" w:fontKey="{1D954F29-77AB-4AF1-B6CB-7B5CA6D072F5}"/>
  </w:font>
  <w:font w:name="华文仿宋">
    <w:panose1 w:val="02010600040101010101"/>
    <w:charset w:val="86"/>
    <w:family w:val="auto"/>
    <w:pitch w:val="default"/>
    <w:sig w:usb0="00000000" w:usb1="00000000" w:usb2="00000000" w:usb3="00000000" w:csb0="00000000" w:csb1="00000000"/>
    <w:embedRegular r:id="rId4" w:fontKey="{43CDC5BB-FBA3-4A12-9512-1AF79ED7F2C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307D29C3"/>
    <w:rsid w:val="3B3C10D6"/>
    <w:rsid w:val="3DAA3A4B"/>
    <w:rsid w:val="3DFFFE57"/>
    <w:rsid w:val="3F833805"/>
    <w:rsid w:val="420B6397"/>
    <w:rsid w:val="43307086"/>
    <w:rsid w:val="518E4531"/>
    <w:rsid w:val="57EEC513"/>
    <w:rsid w:val="5C5D420F"/>
    <w:rsid w:val="5F6F872E"/>
    <w:rsid w:val="697D15FB"/>
    <w:rsid w:val="6C762C4F"/>
    <w:rsid w:val="6FAE6989"/>
    <w:rsid w:val="6FB7617E"/>
    <w:rsid w:val="75FF0AC2"/>
    <w:rsid w:val="76655F35"/>
    <w:rsid w:val="77D64CE8"/>
    <w:rsid w:val="7A5EF601"/>
    <w:rsid w:val="7DF7789C"/>
    <w:rsid w:val="7F6EFCE2"/>
    <w:rsid w:val="7FDEFB3C"/>
    <w:rsid w:val="7FFB437E"/>
    <w:rsid w:val="7FFFA3D0"/>
    <w:rsid w:val="CBF22F75"/>
    <w:rsid w:val="DDFEEA68"/>
    <w:rsid w:val="DFFFD81F"/>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993</Words>
  <Characters>1072</Characters>
  <Lines>0</Lines>
  <Paragraphs>0</Paragraphs>
  <TotalTime>1</TotalTime>
  <ScaleCrop>false</ScaleCrop>
  <LinksUpToDate>false</LinksUpToDate>
  <CharactersWithSpaces>1097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2024-12-25T08:00:22Z</cp:lastPrinted>
  <dcterms:modified xsi:type="dcterms:W3CDTF">2024-12-25T08:43:37Z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