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b w:val="0"/>
          <w:bCs w:val="0"/>
          <w:color w:val="auto"/>
          <w:kern w:val="2"/>
          <w:sz w:val="28"/>
          <w:szCs w:val="28"/>
          <w:u w:val="none"/>
          <w:lang w:val="en-US" w:eastAsia="zh-CN"/>
        </w:rPr>
        <w:t>川林资许准（乐）〔2024〕154号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四川省乐山市峨边彝族自治县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古井村峨眉山居客栈工程</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峨边彝族自治县黑竹沟镇人民政府：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319" w:leftChars="152" w:right="0" w:rightChars="0" w:firstLine="320" w:firstLineChars="1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你单位</w:t>
      </w:r>
      <w:r>
        <w:rPr>
          <w:rFonts w:hint="eastAsia" w:ascii="仿宋_GB2312" w:hAnsi="仿宋_GB2312" w:eastAsia="仿宋_GB2312" w:cs="仿宋_GB2312"/>
          <w:b w:val="0"/>
          <w:bCs w:val="0"/>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一、准予“四川省乐山市峨边彝族自治县古井村峨眉山居客栈工程”（项目代码：峨边发改经信审</w:t>
      </w:r>
      <w:r>
        <w:rPr>
          <w:rFonts w:hint="eastAsia" w:ascii="仿宋_GB2312" w:hAnsi="仿宋_GB2312" w:eastAsia="仿宋_GB2312" w:cs="仿宋_GB2312"/>
          <w:b w:val="0"/>
          <w:bCs w:val="0"/>
          <w:color w:val="auto"/>
          <w:kern w:val="2"/>
          <w:sz w:val="32"/>
          <w:szCs w:val="32"/>
          <w:u w:val="none"/>
          <w:lang w:val="en-US" w:eastAsia="zh-CN"/>
        </w:rPr>
        <w:t>〔2016〕67号</w:t>
      </w:r>
      <w:r>
        <w:rPr>
          <w:rFonts w:hint="eastAsia" w:ascii="仿宋_GB2312" w:hAnsi="仿宋_GB2312" w:eastAsia="仿宋_GB2312" w:cs="仿宋_GB2312"/>
          <w:b w:val="0"/>
          <w:bCs w:val="0"/>
          <w:color w:val="auto"/>
          <w:sz w:val="32"/>
          <w:szCs w:val="32"/>
          <w:highlight w:val="none"/>
          <w:u w:val="none"/>
          <w:lang w:val="en-US" w:eastAsia="zh-CN"/>
        </w:rPr>
        <w:t>）占用乐山市林地0.0960公顷。按林地权属划分，国有0.0960公顷、集体0公顷；按行政区域划分，峨边彝族自治县0.0960公顷（四川省新川南林业有限公司六一六林场二作业区0.0960公顷）。项目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四川省乐山市峨边彝族自治县古井村峨眉山居客栈工程使用林地可行性报告》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b w:val="0"/>
          <w:bCs w:val="0"/>
          <w:color w:val="auto"/>
          <w:sz w:val="32"/>
          <w:szCs w:val="32"/>
          <w:u w:val="none"/>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w:t>
      </w:r>
      <w:r>
        <w:rPr>
          <w:rFonts w:hint="eastAsia" w:ascii="仿宋_GB2312" w:hAnsi="仿宋_GB2312" w:eastAsia="仿宋_GB2312" w:cs="仿宋_GB2312"/>
          <w:b w:val="0"/>
          <w:bCs w:val="0"/>
          <w:color w:val="auto"/>
          <w:sz w:val="32"/>
          <w:szCs w:val="32"/>
          <w:u w:val="none"/>
        </w:rPr>
        <w:t>严格</w:t>
      </w:r>
      <w:r>
        <w:rPr>
          <w:rFonts w:hint="eastAsia" w:ascii="仿宋_GB2312" w:hAnsi="仿宋_GB2312" w:eastAsia="仿宋_GB2312" w:cs="仿宋_GB2312"/>
          <w:b w:val="0"/>
          <w:bCs w:val="0"/>
          <w:color w:val="auto"/>
          <w:sz w:val="32"/>
          <w:szCs w:val="32"/>
          <w:u w:val="none"/>
          <w:lang w:val="en-US" w:eastAsia="zh-CN"/>
        </w:rPr>
        <w:t>按照</w:t>
      </w:r>
      <w:r>
        <w:rPr>
          <w:rFonts w:hint="eastAsia" w:ascii="仿宋_GB2312" w:hAnsi="仿宋_GB2312" w:eastAsia="仿宋_GB2312" w:cs="仿宋_GB2312"/>
          <w:b w:val="0"/>
          <w:bCs w:val="0"/>
          <w:color w:val="auto"/>
          <w:sz w:val="32"/>
          <w:szCs w:val="32"/>
          <w:u w:val="none"/>
        </w:rPr>
        <w:t>审核同意的用地红线范围</w:t>
      </w:r>
      <w:r>
        <w:rPr>
          <w:rFonts w:hint="eastAsia" w:ascii="仿宋_GB2312" w:hAnsi="仿宋_GB2312" w:eastAsia="仿宋_GB2312" w:cs="仿宋_GB2312"/>
          <w:b w:val="0"/>
          <w:bCs w:val="0"/>
          <w:color w:val="auto"/>
          <w:sz w:val="32"/>
          <w:szCs w:val="32"/>
          <w:u w:val="none"/>
          <w:lang w:val="en-US" w:eastAsia="zh-CN"/>
        </w:rPr>
        <w:t>进行</w:t>
      </w:r>
      <w:r>
        <w:rPr>
          <w:rFonts w:hint="eastAsia" w:ascii="仿宋_GB2312" w:hAnsi="仿宋_GB2312" w:eastAsia="仿宋_GB2312" w:cs="仿宋_GB2312"/>
          <w:b w:val="0"/>
          <w:bCs w:val="0"/>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施工必须依法规范管理，</w:t>
      </w:r>
      <w:r>
        <w:rPr>
          <w:rFonts w:hint="eastAsia" w:ascii="仿宋_GB2312" w:hAnsi="仿宋_GB2312" w:eastAsia="仿宋_GB2312" w:cs="仿宋_GB2312"/>
          <w:b w:val="0"/>
          <w:bCs w:val="0"/>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kern w:val="2"/>
          <w:sz w:val="32"/>
          <w:szCs w:val="32"/>
          <w:u w:val="none"/>
          <w:lang w:val="en-US" w:eastAsia="zh-CN" w:bidi="ar-SA"/>
        </w:rPr>
        <w:t>四、本</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涉及</w:t>
      </w:r>
      <w:r>
        <w:rPr>
          <w:rFonts w:hint="eastAsia" w:ascii="仿宋_GB2312" w:hAnsi="仿宋_GB2312" w:eastAsia="仿宋_GB2312" w:cs="仿宋_GB2312"/>
          <w:b w:val="0"/>
          <w:bCs w:val="0"/>
          <w:color w:val="auto"/>
          <w:kern w:val="2"/>
          <w:sz w:val="32"/>
          <w:szCs w:val="32"/>
          <w:highlight w:val="none"/>
          <w:u w:val="none"/>
          <w:lang w:val="en-US" w:eastAsia="zh-CN" w:bidi="ar-SA"/>
        </w:rPr>
        <w:t>黑竹沟</w:t>
      </w:r>
      <w:r>
        <w:rPr>
          <w:rFonts w:hint="eastAsia" w:ascii="仿宋_GB2312" w:hAnsi="仿宋_GB2312" w:eastAsia="仿宋_GB2312" w:cs="仿宋_GB2312"/>
          <w:b w:val="0"/>
          <w:bCs w:val="0"/>
          <w:color w:val="auto"/>
          <w:kern w:val="2"/>
          <w:sz w:val="32"/>
          <w:szCs w:val="32"/>
          <w:u w:val="none"/>
          <w:lang w:val="en-US" w:eastAsia="zh-CN" w:bidi="ar-SA"/>
        </w:rPr>
        <w:t>风景名胜区和四川黑竹沟国家森林公园</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b w:val="0"/>
          <w:bCs w:val="0"/>
          <w:color w:val="auto"/>
          <w:kern w:val="2"/>
          <w:sz w:val="32"/>
          <w:szCs w:val="32"/>
          <w:highlight w:val="none"/>
          <w:u w:val="none"/>
          <w:lang w:val="en-US" w:eastAsia="zh-CN" w:bidi="ar-SA"/>
        </w:rPr>
        <w:t>单位</w:t>
      </w:r>
      <w:r>
        <w:rPr>
          <w:rFonts w:hint="eastAsia" w:ascii="仿宋_GB2312" w:hAnsi="仿宋_GB2312" w:eastAsia="仿宋_GB2312" w:cs="仿宋_GB2312"/>
          <w:b w:val="0"/>
          <w:bCs w:val="0"/>
          <w:color w:val="auto"/>
          <w:kern w:val="2"/>
          <w:sz w:val="32"/>
          <w:szCs w:val="32"/>
          <w:u w:val="none"/>
          <w:lang w:val="en-US" w:eastAsia="zh-CN" w:bidi="ar-SA"/>
        </w:rPr>
        <w:t>须严格按照《乐山市林业和园林局关于同意补办已建四川省乐山市峨边彝族自治县古井村峨眉山居客栈工程进入黑竹沟风景名胜区的批复》（</w:t>
      </w:r>
      <w:r>
        <w:rPr>
          <w:rFonts w:hint="eastAsia" w:ascii="仿宋_GB2312" w:hAnsi="仿宋_GB2312" w:eastAsia="仿宋_GB2312" w:cs="仿宋_GB2312"/>
          <w:b w:val="0"/>
          <w:bCs w:val="0"/>
          <w:color w:val="auto"/>
          <w:kern w:val="2"/>
          <w:sz w:val="32"/>
          <w:szCs w:val="32"/>
          <w:highlight w:val="none"/>
          <w:u w:val="none"/>
          <w:lang w:val="en-US" w:eastAsia="zh-CN" w:bidi="ar-SA"/>
        </w:rPr>
        <w:t>乐市林函(2024)141号</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ascii="仿宋_GB2312" w:hAnsi="仿宋_GB2312" w:eastAsia="仿宋_GB2312" w:cs="仿宋_GB2312"/>
          <w:b w:val="0"/>
          <w:bCs w:val="0"/>
          <w:color w:val="auto"/>
          <w:sz w:val="32"/>
          <w:szCs w:val="32"/>
          <w:u w:val="none"/>
          <w:lang w:val="en-US" w:eastAsia="zh-CN"/>
        </w:rPr>
        <w:t>要求执行，并严格执行</w:t>
      </w:r>
      <w:r>
        <w:rPr>
          <w:rFonts w:hint="eastAsia" w:ascii="仿宋_GB2312" w:hAnsi="仿宋_GB2312" w:eastAsia="仿宋_GB2312" w:cs="仿宋_GB2312"/>
          <w:b w:val="0"/>
          <w:bCs w:val="0"/>
          <w:color w:val="auto"/>
          <w:kern w:val="2"/>
          <w:sz w:val="32"/>
          <w:szCs w:val="32"/>
          <w:highlight w:val="none"/>
          <w:u w:val="none"/>
          <w:lang w:val="en-US" w:eastAsia="zh-CN" w:bidi="ar-SA"/>
        </w:rPr>
        <w:t>黑竹沟</w:t>
      </w:r>
      <w:r>
        <w:rPr>
          <w:rFonts w:hint="eastAsia" w:ascii="仿宋_GB2312" w:hAnsi="仿宋_GB2312" w:eastAsia="仿宋_GB2312" w:cs="仿宋_GB2312"/>
          <w:b w:val="0"/>
          <w:bCs w:val="0"/>
          <w:color w:val="auto"/>
          <w:kern w:val="2"/>
          <w:sz w:val="32"/>
          <w:szCs w:val="32"/>
          <w:u w:val="none"/>
          <w:lang w:val="en-US" w:eastAsia="zh-CN" w:bidi="ar-SA"/>
        </w:rPr>
        <w:t>风景名胜区和四川黑竹沟国家森林公园</w:t>
      </w:r>
      <w:r>
        <w:rPr>
          <w:rFonts w:hint="eastAsia" w:ascii="仿宋_GB2312" w:hAnsi="仿宋_GB2312" w:eastAsia="仿宋_GB2312" w:cs="仿宋_GB2312"/>
          <w:b w:val="0"/>
          <w:bCs w:val="0"/>
          <w:color w:val="auto"/>
          <w:sz w:val="32"/>
          <w:szCs w:val="32"/>
          <w:u w:val="none"/>
          <w:lang w:val="en-US" w:eastAsia="zh-CN"/>
        </w:rPr>
        <w:t>管理等相关规定，</w:t>
      </w:r>
      <w:r>
        <w:rPr>
          <w:rFonts w:hint="eastAsia" w:ascii="仿宋_GB2312" w:hAnsi="仿宋_GB2312" w:eastAsia="仿宋_GB2312" w:cs="仿宋_GB2312"/>
          <w:b w:val="0"/>
          <w:bCs w:val="0"/>
          <w:i w:val="0"/>
          <w:caps w:val="0"/>
          <w:color w:val="auto"/>
          <w:spacing w:val="0"/>
          <w:kern w:val="2"/>
          <w:sz w:val="32"/>
          <w:szCs w:val="32"/>
          <w:u w:val="none"/>
          <w:shd w:val="clear"/>
          <w:lang w:val="en-US" w:eastAsia="zh-CN" w:bidi="ar"/>
        </w:rPr>
        <w:t>采取必要措施减轻对</w:t>
      </w:r>
      <w:r>
        <w:rPr>
          <w:rFonts w:hint="eastAsia" w:ascii="仿宋_GB2312" w:hAnsi="仿宋_GB2312" w:eastAsia="仿宋_GB2312" w:cs="仿宋_GB2312"/>
          <w:b w:val="0"/>
          <w:bCs w:val="0"/>
          <w:color w:val="auto"/>
          <w:kern w:val="2"/>
          <w:sz w:val="32"/>
          <w:szCs w:val="32"/>
          <w:highlight w:val="none"/>
          <w:u w:val="none"/>
          <w:lang w:val="en-US" w:eastAsia="zh-CN" w:bidi="ar-SA"/>
        </w:rPr>
        <w:t>黑竹沟</w:t>
      </w:r>
      <w:r>
        <w:rPr>
          <w:rFonts w:hint="eastAsia" w:ascii="仿宋_GB2312" w:hAnsi="仿宋_GB2312" w:eastAsia="仿宋_GB2312" w:cs="仿宋_GB2312"/>
          <w:b w:val="0"/>
          <w:bCs w:val="0"/>
          <w:color w:val="auto"/>
          <w:kern w:val="2"/>
          <w:sz w:val="32"/>
          <w:szCs w:val="32"/>
          <w:u w:val="none"/>
          <w:lang w:val="en-US" w:eastAsia="zh-CN" w:bidi="ar-SA"/>
        </w:rPr>
        <w:t>风景名胜区和四川黑竹沟国家森林公园</w:t>
      </w:r>
      <w:r>
        <w:rPr>
          <w:rFonts w:hint="eastAsia" w:ascii="仿宋_GB2312" w:hAnsi="仿宋_GB2312" w:eastAsia="仿宋_GB2312" w:cs="仿宋_GB2312"/>
          <w:b w:val="0"/>
          <w:bCs w:val="0"/>
          <w:i w:val="0"/>
          <w:caps w:val="0"/>
          <w:color w:val="auto"/>
          <w:spacing w:val="0"/>
          <w:kern w:val="2"/>
          <w:sz w:val="32"/>
          <w:szCs w:val="32"/>
          <w:u w:val="none"/>
          <w:shd w:val="clear"/>
          <w:lang w:val="en-US" w:eastAsia="zh-CN" w:bidi="ar"/>
        </w:rPr>
        <w:t>生态功能的不利影响</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五、国家林业和草原局成都专员办及四川省林业和草原局等地方各级林草主管部门将依法对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rPr>
        <w:t>本</w:t>
      </w:r>
      <w:r>
        <w:rPr>
          <w:rFonts w:hint="eastAsia" w:ascii="仿宋_GB2312" w:hAnsi="仿宋_GB2312" w:eastAsia="仿宋_GB2312" w:cs="仿宋_GB2312"/>
          <w:b w:val="0"/>
          <w:bCs w:val="0"/>
          <w:color w:val="auto"/>
          <w:sz w:val="32"/>
          <w:szCs w:val="32"/>
          <w:highlight w:val="none"/>
          <w:u w:val="none"/>
          <w:lang w:val="en-US" w:eastAsia="zh-CN"/>
        </w:rPr>
        <w:t>决定书</w:t>
      </w:r>
      <w:r>
        <w:rPr>
          <w:rFonts w:hint="eastAsia" w:ascii="仿宋_GB2312" w:hAnsi="仿宋_GB2312" w:eastAsia="仿宋_GB2312" w:cs="仿宋_GB2312"/>
          <w:b w:val="0"/>
          <w:bCs w:val="0"/>
          <w:color w:val="auto"/>
          <w:sz w:val="32"/>
          <w:szCs w:val="32"/>
          <w:highlight w:val="none"/>
          <w:u w:val="none"/>
        </w:rPr>
        <w:t>仅作为</w:t>
      </w:r>
      <w:r>
        <w:rPr>
          <w:rFonts w:hint="eastAsia" w:ascii="仿宋_GB2312" w:hAnsi="仿宋_GB2312" w:eastAsia="仿宋_GB2312" w:cs="仿宋_GB2312"/>
          <w:b w:val="0"/>
          <w:bCs w:val="0"/>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rPr>
        <w:t>办理</w:t>
      </w:r>
      <w:r>
        <w:rPr>
          <w:rFonts w:hint="eastAsia" w:ascii="仿宋_GB2312" w:hAnsi="仿宋_GB2312" w:eastAsia="仿宋_GB2312" w:cs="仿宋_GB2312"/>
          <w:b w:val="0"/>
          <w:bCs w:val="0"/>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eastAsia="zh-CN"/>
        </w:rPr>
        <w:t>开工建设和各类生态环境敏感区准入的依据。</w:t>
      </w:r>
      <w:r>
        <w:rPr>
          <w:rFonts w:hint="eastAsia" w:ascii="仿宋_GB2312" w:hAnsi="仿宋_GB2312" w:eastAsia="仿宋_GB2312" w:cs="仿宋_GB2312"/>
          <w:b w:val="0"/>
          <w:bCs w:val="0"/>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设计变更等导致所占用林地的位置、面积</w:t>
      </w:r>
      <w:r>
        <w:rPr>
          <w:rFonts w:hint="eastAsia" w:ascii="仿宋_GB2312" w:hAnsi="仿宋_GB2312" w:eastAsia="仿宋_GB2312" w:cs="仿宋_GB2312"/>
          <w:b w:val="0"/>
          <w:bCs w:val="0"/>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val="en-US" w:eastAsia="zh-CN"/>
        </w:rPr>
        <w:t>须</w:t>
      </w:r>
      <w:r>
        <w:rPr>
          <w:rFonts w:hint="eastAsia" w:ascii="仿宋_GB2312" w:hAnsi="仿宋_GB2312" w:eastAsia="仿宋_GB2312" w:cs="仿宋_GB2312"/>
          <w:b w:val="0"/>
          <w:bCs w:val="0"/>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七、本决定书有效期为两年。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受四川省林业和草原局委托，本行政许可由</w:t>
      </w:r>
      <w:r>
        <w:rPr>
          <w:rFonts w:hint="eastAsia" w:ascii="仿宋_GB2312" w:hAnsi="仿宋_GB2312" w:eastAsia="仿宋_GB2312" w:cs="仿宋_GB2312"/>
          <w:b w:val="0"/>
          <w:bCs w:val="0"/>
          <w:color w:val="auto"/>
          <w:sz w:val="32"/>
          <w:szCs w:val="32"/>
          <w:u w:val="none"/>
          <w:lang w:val="en-US" w:eastAsia="zh-CN" w:bidi="ar-SA"/>
        </w:rPr>
        <w:t>乐山市林业和园林局</w:t>
      </w:r>
      <w:r>
        <w:rPr>
          <w:rFonts w:hint="eastAsia" w:ascii="仿宋_GB2312" w:hAnsi="仿宋_GB2312" w:eastAsia="仿宋_GB2312" w:cs="仿宋_GB2312"/>
          <w:b w:val="0"/>
          <w:bCs w:val="0"/>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b w:val="0"/>
          <w:bCs w:val="0"/>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27</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bookmarkStart w:id="0" w:name="_GoBack"/>
      <w:bookmarkEnd w:id="0"/>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default" w:asciiTheme="majorEastAsia" w:hAnsiTheme="majorEastAsia" w:eastAsiaTheme="majorEastAsia" w:cstheme="majorEastAsia"/>
          <w:b w:val="0"/>
          <w:bCs w:val="0"/>
          <w:color w:val="auto"/>
          <w:spacing w:val="0"/>
          <w:sz w:val="28"/>
          <w:szCs w:val="28"/>
          <w:u w:val="single"/>
          <w:lang w:val="en-US" w:eastAsia="zh-CN"/>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Theme="majorEastAsia" w:hAnsiTheme="majorEastAsia" w:eastAsiaTheme="majorEastAsia" w:cstheme="majorEastAsia"/>
          <w:b w:val="0"/>
          <w:bCs w:val="0"/>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抄送：国家林业和草原局成都专员办，</w:t>
      </w:r>
      <w:r>
        <w:rPr>
          <w:rFonts w:hint="eastAsia" w:asciiTheme="majorEastAsia" w:hAnsiTheme="majorEastAsia" w:eastAsiaTheme="majorEastAsia" w:cstheme="majorEastAsia"/>
          <w:b w:val="0"/>
          <w:bCs w:val="0"/>
          <w:color w:val="auto"/>
          <w:spacing w:val="0"/>
          <w:sz w:val="28"/>
          <w:szCs w:val="28"/>
          <w:u w:val="none"/>
          <w:lang w:eastAsia="zh-CN"/>
        </w:rPr>
        <w:t>四川省</w:t>
      </w:r>
      <w:r>
        <w:rPr>
          <w:rFonts w:hint="eastAsia" w:asciiTheme="majorEastAsia" w:hAnsiTheme="majorEastAsia" w:eastAsiaTheme="majorEastAsia" w:cstheme="majorEastAsia"/>
          <w:b w:val="0"/>
          <w:bCs w:val="0"/>
          <w:color w:val="auto"/>
          <w:spacing w:val="0"/>
          <w:sz w:val="28"/>
          <w:szCs w:val="28"/>
          <w:u w:val="none"/>
          <w:lang w:val="en-US" w:eastAsia="zh-CN"/>
        </w:rPr>
        <w:t>林业和草原局，乐山市</w:t>
      </w:r>
    </w:p>
    <w:p>
      <w:pPr>
        <w:pStyle w:val="6"/>
        <w:keepNext w:val="0"/>
        <w:keepLines w:val="0"/>
        <w:pageBreakBefore w:val="0"/>
        <w:widowControl w:val="0"/>
        <w:kinsoku/>
        <w:wordWrap/>
        <w:overflowPunct/>
        <w:topLinePunct w:val="0"/>
        <w:autoSpaceDE/>
        <w:autoSpaceDN/>
        <w:bidi w:val="0"/>
        <w:adjustRightInd/>
        <w:snapToGrid/>
        <w:spacing w:beforeLines="0" w:afterLines="0" w:line="500" w:lineRule="exact"/>
        <w:ind w:left="840" w:leftChars="0" w:right="0" w:rightChars="0" w:hanging="840" w:hangingChars="300"/>
        <w:textAlignment w:val="auto"/>
        <w:rPr>
          <w:rFonts w:hint="eastAsia" w:ascii="仿宋_GB2312" w:hAnsi="仿宋_GB2312" w:eastAsia="仿宋_GB2312" w:cs="仿宋_GB2312"/>
          <w:b w:val="0"/>
          <w:bCs w:val="0"/>
          <w:color w:val="auto"/>
          <w:sz w:val="32"/>
          <w:szCs w:val="32"/>
          <w:u w:val="none"/>
        </w:rPr>
      </w:pPr>
      <w:r>
        <w:rPr>
          <w:rFonts w:hint="eastAsia" w:asciiTheme="majorEastAsia" w:hAnsiTheme="majorEastAsia" w:eastAsiaTheme="majorEastAsia" w:cstheme="majorEastAsia"/>
          <w:b w:val="0"/>
          <w:bCs w:val="0"/>
          <w:color w:val="auto"/>
          <w:spacing w:val="0"/>
          <w:sz w:val="28"/>
          <w:szCs w:val="28"/>
          <w:u w:val="single"/>
          <w:lang w:val="en-US" w:eastAsia="zh-CN"/>
        </w:rPr>
        <w:t xml:space="preserve">      自然资源和规划局，峨边彝族自治县林业局。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1" w:fontKey="{C3467956-0EF4-42B4-8FA6-253E942E663A}"/>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E61FA58A-4DD6-45A3-B113-9EF9B700C68A}"/>
  </w:font>
  <w:font w:name="方正小标宋简体">
    <w:panose1 w:val="02010601030101010101"/>
    <w:charset w:val="86"/>
    <w:family w:val="auto"/>
    <w:pitch w:val="default"/>
    <w:sig w:usb0="00000001" w:usb1="080E0000" w:usb2="00000000" w:usb3="00000000" w:csb0="00040000" w:csb1="00000000"/>
    <w:embedRegular r:id="rId3" w:fontKey="{79363872-01C9-4C5C-975A-CB3784E76186}"/>
  </w:font>
  <w:font w:name="华文仿宋">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645471E"/>
    <w:rsid w:val="0D110684"/>
    <w:rsid w:val="13692C23"/>
    <w:rsid w:val="14676633"/>
    <w:rsid w:val="17CE6D8E"/>
    <w:rsid w:val="18B42CF3"/>
    <w:rsid w:val="23C62375"/>
    <w:rsid w:val="2A7D05C0"/>
    <w:rsid w:val="307D29C3"/>
    <w:rsid w:val="3DAA3A4B"/>
    <w:rsid w:val="453271FC"/>
    <w:rsid w:val="45A71D31"/>
    <w:rsid w:val="465976EB"/>
    <w:rsid w:val="51633032"/>
    <w:rsid w:val="518E4531"/>
    <w:rsid w:val="5ABB4C22"/>
    <w:rsid w:val="5C5D420F"/>
    <w:rsid w:val="656E17DB"/>
    <w:rsid w:val="6C762C4F"/>
    <w:rsid w:val="75E61908"/>
    <w:rsid w:val="769D135A"/>
    <w:rsid w:val="7994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1186</Words>
  <Characters>1224</Characters>
  <Lines>0</Lines>
  <Paragraphs>0</Paragraphs>
  <TotalTime>1</TotalTime>
  <ScaleCrop>false</ScaleCrop>
  <LinksUpToDate>false</LinksUpToDate>
  <CharactersWithSpaces>1250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2024-12-27T09:02:19Z</cp:lastPrinted>
  <dcterms:modified xsi:type="dcterms:W3CDTF">2024-12-27T09:02:22Z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