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10"/>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10"/>
        <w:spacing w:beforeLines="0" w:afterLines="0" w:line="570" w:lineRule="exact"/>
        <w:ind w:left="0" w:leftChars="0" w:firstLine="0" w:firstLineChars="0"/>
        <w:jc w:val="right"/>
        <w:rPr>
          <w:rFonts w:hint="eastAsia" w:asciiTheme="majorEastAsia" w:hAnsiTheme="majorEastAsia" w:eastAsiaTheme="majorEastAsia" w:cstheme="majorEastAsia"/>
          <w:b w:val="0"/>
          <w:bCs w:val="0"/>
          <w:color w:val="000000" w:themeColor="text1"/>
          <w:sz w:val="28"/>
          <w:szCs w:val="28"/>
          <w:u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kern w:val="2"/>
          <w:sz w:val="28"/>
          <w:szCs w:val="28"/>
          <w:u w:val="none"/>
          <w:lang w:val="en-US" w:eastAsia="zh-CN"/>
          <w14:textFill>
            <w14:solidFill>
              <w14:schemeClr w14:val="tx1"/>
            </w14:solidFill>
          </w14:textFill>
        </w:rPr>
        <w:t>川林资许准（乐）〔2024〕141号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eastAsia="zh-CN"/>
        </w:rPr>
        <w:t>关于准予夹江县2024年第三批农村住宅建设项目</w:t>
      </w:r>
      <w:r>
        <w:rPr>
          <w:rFonts w:hint="default" w:ascii="Times New Roman" w:hAnsi="Times New Roman" w:eastAsia="方正小标宋_GBK" w:cs="Times New Roman"/>
          <w:b w:val="0"/>
          <w:bCs w:val="0"/>
          <w:color w:val="auto"/>
          <w:w w:val="100"/>
          <w:sz w:val="44"/>
          <w:szCs w:val="44"/>
          <w:lang w:val="en-US" w:eastAsia="zh-CN"/>
        </w:rPr>
        <w:t>占用林地的行政许可决定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default" w:ascii="Times New Roman" w:hAnsi="Times New Roman" w:eastAsia="仿宋_GB2312" w:cs="Times New Roman"/>
          <w:b w:val="0"/>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夹江县自然资源局</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你单位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准予“夹江县2024年第三批农村住宅建设项目”（农村宅基地和建房（规划许可）审批表）占用乐山市林地0.1050公顷。按林地权属划分，国有0公顷、集体0.1050公顷；按行政区域划分，夹江县0.1050公顷（华头镇0.0840公顷、青衣街道0.0210公顷）。项目</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占用林地的具体位置、面积和用途，须与经审核上报的《夹江县2024年第三批农村住宅建设项目使用林地现状调查表》一致。若准予的面积与全省新一轮林地保护利用规划的法定林地数据不一致，你单位须及时办理相关变更手续。</w:t>
      </w:r>
    </w:p>
    <w:p>
      <w:pPr>
        <w:spacing w:beforeLines="0" w:afterLines="0" w:line="570" w:lineRule="exact"/>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u w:val="none"/>
          <w14:textFill>
            <w14:solidFill>
              <w14:schemeClr w14:val="tx1"/>
            </w14:solidFill>
          </w14:textFill>
        </w:rPr>
        <w:t>、你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单位</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须</w:t>
      </w:r>
      <w:r>
        <w:rPr>
          <w:rFonts w:hint="eastAsia" w:ascii="仿宋_GB2312" w:hAnsi="仿宋_GB2312" w:eastAsia="仿宋_GB2312" w:cs="仿宋_GB2312"/>
          <w:color w:val="000000" w:themeColor="text1"/>
          <w:sz w:val="32"/>
          <w:szCs w:val="32"/>
          <w:u w:val="none"/>
          <w14:textFill>
            <w14:solidFill>
              <w14:schemeClr w14:val="tx1"/>
            </w14:solidFill>
          </w14:textFill>
        </w:rPr>
        <w:t>严格</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按照</w:t>
      </w:r>
      <w:r>
        <w:rPr>
          <w:rFonts w:hint="eastAsia" w:ascii="仿宋_GB2312" w:hAnsi="仿宋_GB2312" w:eastAsia="仿宋_GB2312" w:cs="仿宋_GB2312"/>
          <w:color w:val="000000" w:themeColor="text1"/>
          <w:sz w:val="32"/>
          <w:szCs w:val="32"/>
          <w:u w:val="none"/>
          <w14:textFill>
            <w14:solidFill>
              <w14:schemeClr w14:val="tx1"/>
            </w14:solidFill>
          </w14:textFill>
        </w:rPr>
        <w:t>审核同意的用地红线范围</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进行</w:t>
      </w:r>
      <w:r>
        <w:rPr>
          <w:rFonts w:hint="eastAsia" w:ascii="仿宋_GB2312" w:hAnsi="仿宋_GB2312" w:eastAsia="仿宋_GB2312" w:cs="仿宋_GB2312"/>
          <w:color w:val="000000" w:themeColor="text1"/>
          <w:sz w:val="32"/>
          <w:szCs w:val="32"/>
          <w:u w:val="none"/>
          <w14:textFill>
            <w14:solidFill>
              <w14:schemeClr w14:val="tx1"/>
            </w14:solidFill>
          </w14:textFill>
        </w:rPr>
        <w:t>建设，不得擅自改变经审核同意的林地建设用途，不得用于别墅、高尔夫球场、未依法批准的各类园区及法定禁止用地项目建设。</w:t>
      </w:r>
      <w:r>
        <w:rPr>
          <w:rFonts w:hint="eastAsia" w:ascii="仿宋_GB2312" w:hAnsi="仿宋_GB2312" w:eastAsia="仿宋_GB2312" w:cs="仿宋_GB2312"/>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施工必须依法规范管理，</w:t>
      </w:r>
      <w:r>
        <w:rPr>
          <w:rFonts w:hint="eastAsia" w:ascii="仿宋_GB2312" w:hAnsi="仿宋_GB2312" w:eastAsia="仿宋_GB2312" w:cs="仿宋_GB2312"/>
          <w:color w:val="000000" w:themeColor="text1"/>
          <w:sz w:val="32"/>
          <w:szCs w:val="32"/>
          <w:u w:val="none"/>
          <w14:textFill>
            <w14:solidFill>
              <w14:schemeClr w14:val="tx1"/>
            </w14:solidFill>
          </w14:textFill>
        </w:rPr>
        <w:t>严禁超范围占用林地，杜绝非法采伐、破坏植被等行为，严防森林火灾。</w:t>
      </w:r>
    </w:p>
    <w:p>
      <w:pPr>
        <w:spacing w:beforeLines="0" w:afterLines="0" w:line="570" w:lineRule="exact"/>
        <w:ind w:firstLine="640" w:firstLineChars="200"/>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三、本</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项目若</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涉及林木采伐，你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单位</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四、国家林业和草原局成都专员办及四川省林业和草原局等地方各级林草主管部门将依法对</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单位</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从事</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本</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决定书</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仅作为</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该</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办理</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建设用地审批手续的依据，不是</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开工建设和各类生态环境敏感区准入的依据。</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因</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设计变更等导致所占用林地的位置、面积</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等发生变更的，</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单位须</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六、本决定书有效期为两年。</w:t>
      </w:r>
      <w:r>
        <w:rPr>
          <w:rFonts w:hint="eastAsia" w:ascii="仿宋_GB2312" w:hAnsi="仿宋_GB2312" w:eastAsia="仿宋_GB2312" w:cs="仿宋_GB2312"/>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在有效期内未取得建设用地批准文件但仍需继续占用的，须在有效期届满三十日前向我局申请延续。</w:t>
      </w:r>
      <w:r>
        <w:rPr>
          <w:rFonts w:hint="eastAsia" w:ascii="仿宋_GB2312" w:hAnsi="仿宋_GB2312" w:eastAsia="仿宋_GB2312" w:cs="仿宋_GB2312"/>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受四川省林业和草原局委托，本行政许可由</w:t>
      </w:r>
      <w:r>
        <w:rPr>
          <w:rFonts w:hint="eastAsia" w:ascii="仿宋_GB2312" w:hAnsi="仿宋_GB2312" w:eastAsia="仿宋_GB2312" w:cs="仿宋_GB2312"/>
          <w:color w:val="000000" w:themeColor="text1"/>
          <w:sz w:val="32"/>
          <w:szCs w:val="32"/>
          <w:u w:val="none"/>
          <w:lang w:val="en-US" w:eastAsia="zh-CN" w:bidi="ar-SA"/>
          <w14:textFill>
            <w14:solidFill>
              <w14:schemeClr w14:val="tx1"/>
            </w14:solidFill>
          </w14:textFill>
        </w:rPr>
        <w:t>乐山市林业和园林局</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依法受理、审查和决定。</w:t>
      </w:r>
    </w:p>
    <w:p>
      <w:pPr>
        <w:spacing w:beforeLines="0" w:afterLines="0" w:line="570" w:lineRule="exact"/>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p>
    <w:p>
      <w:pPr>
        <w:pStyle w:val="7"/>
        <w:spacing w:beforeLines="0" w:afterLines="0" w:line="570" w:lineRule="exact"/>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四川省</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20</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24</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 xml:space="preserve"> 20 </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日</w:t>
      </w: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960" w:leftChars="0" w:right="0" w:rightChars="0" w:hanging="960" w:hangingChars="300"/>
        <w:textAlignment w:val="auto"/>
        <w:rPr>
          <w:rFonts w:hint="eastAsia" w:ascii="仿宋_GB2312" w:hAnsi="仿宋_GB2312" w:eastAsia="仿宋_GB2312" w:cs="仿宋_GB2312"/>
          <w:b w:val="0"/>
          <w:bCs w:val="0"/>
          <w:color w:val="000000" w:themeColor="text1"/>
          <w:spacing w:val="0"/>
          <w:sz w:val="32"/>
          <w:szCs w:val="32"/>
          <w:u w:val="singl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u w:val="single"/>
          <w:lang w:val="en-US" w:eastAsia="zh-CN"/>
          <w14:textFill>
            <w14:solidFill>
              <w14:schemeClr w14:val="tx1"/>
            </w14:solidFill>
          </w14:textFill>
        </w:rPr>
        <w:t xml:space="preserve">                                                        </w:t>
      </w: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eastAsia" w:ascii="仿宋_GB2312" w:hAnsi="仿宋_GB2312" w:eastAsia="仿宋_GB2312" w:cs="仿宋_GB2312"/>
          <w:color w:val="000000" w:themeColor="text1"/>
          <w:spacing w:val="0"/>
          <w:sz w:val="28"/>
          <w:szCs w:val="28"/>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28"/>
          <w:szCs w:val="28"/>
          <w:u w:val="none"/>
          <w14:textFill>
            <w14:solidFill>
              <w14:schemeClr w14:val="tx1"/>
            </w14:solidFill>
          </w14:textFill>
        </w:rPr>
        <w:t>抄送：</w:t>
      </w:r>
      <w:r>
        <w:rPr>
          <w:rFonts w:hint="eastAsia" w:ascii="仿宋_GB2312" w:hAnsi="仿宋_GB2312" w:eastAsia="仿宋_GB2312" w:cs="仿宋_GB2312"/>
          <w:color w:val="000000" w:themeColor="text1"/>
          <w:spacing w:val="0"/>
          <w:sz w:val="28"/>
          <w:szCs w:val="28"/>
          <w:u w:val="none"/>
          <w14:textFill>
            <w14:solidFill>
              <w14:schemeClr w14:val="tx1"/>
            </w14:solidFill>
          </w14:textFill>
        </w:rPr>
        <w:t>国家林业和草原局成都专员办，</w:t>
      </w:r>
      <w:r>
        <w:rPr>
          <w:rFonts w:hint="eastAsia" w:ascii="仿宋_GB2312" w:hAnsi="仿宋_GB2312" w:eastAsia="仿宋_GB2312" w:cs="仿宋_GB2312"/>
          <w:color w:val="000000" w:themeColor="text1"/>
          <w:spacing w:val="0"/>
          <w:sz w:val="28"/>
          <w:szCs w:val="28"/>
          <w:u w:val="none"/>
          <w:lang w:eastAsia="zh-CN"/>
          <w14:textFill>
            <w14:solidFill>
              <w14:schemeClr w14:val="tx1"/>
            </w14:solidFill>
          </w14:textFill>
        </w:rPr>
        <w:t>四川省</w:t>
      </w:r>
      <w:r>
        <w:rPr>
          <w:rFonts w:hint="eastAsia" w:ascii="仿宋_GB2312" w:hAnsi="仿宋_GB2312" w:eastAsia="仿宋_GB2312" w:cs="仿宋_GB2312"/>
          <w:color w:val="000000" w:themeColor="text1"/>
          <w:spacing w:val="0"/>
          <w:sz w:val="28"/>
          <w:szCs w:val="28"/>
          <w:u w:val="none"/>
          <w:lang w:val="en-US" w:eastAsia="zh-CN"/>
          <w14:textFill>
            <w14:solidFill>
              <w14:schemeClr w14:val="tx1"/>
            </w14:solidFill>
          </w14:textFill>
        </w:rPr>
        <w:t>林业和草原局，乐山市自</w:t>
      </w: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960" w:leftChars="0" w:right="0" w:rightChars="0" w:hanging="960" w:hangingChars="300"/>
        <w:textAlignment w:val="auto"/>
      </w:pPr>
      <w:r>
        <w:rPr>
          <w:rFonts w:hint="eastAsia" w:ascii="仿宋_GB2312" w:hAnsi="仿宋_GB2312" w:eastAsia="仿宋_GB2312" w:cs="仿宋_GB2312"/>
          <w:color w:val="000000" w:themeColor="text1"/>
          <w:spacing w:val="0"/>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28"/>
          <w:szCs w:val="28"/>
          <w:u w:val="single"/>
          <w:lang w:val="en-US" w:eastAsia="zh-CN"/>
          <w14:textFill>
            <w14:solidFill>
              <w14:schemeClr w14:val="tx1"/>
            </w14:solidFill>
          </w14:textFill>
        </w:rPr>
        <w:t>然资源和规划局，夹江县自然资源局。</w:t>
      </w:r>
      <w:r>
        <w:rPr>
          <w:rFonts w:hint="eastAsia" w:ascii="仿宋_GB2312" w:hAnsi="仿宋_GB2312" w:eastAsia="仿宋_GB2312" w:cs="仿宋_GB2312"/>
          <w:color w:val="000000" w:themeColor="text1"/>
          <w:spacing w:val="0"/>
          <w:sz w:val="32"/>
          <w:szCs w:val="32"/>
          <w:u w:val="single"/>
          <w:lang w:val="en-US" w:eastAsia="zh-CN"/>
          <w14:textFill>
            <w14:solidFill>
              <w14:schemeClr w14:val="tx1"/>
            </w14:solidFill>
          </w14:textFill>
        </w:rPr>
        <w:t xml:space="preserve">                     </w:t>
      </w:r>
      <w:bookmarkStart w:id="0" w:name="_GoBack"/>
      <w:bookmarkEnd w:id="0"/>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1" w:fontKey="{2622E3B6-7BCD-446C-9533-D180FBD33943}"/>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158F00F0-930E-4B3B-A0FC-BC4009D9EA7B}"/>
  </w:font>
  <w:font w:name="方正小标宋简体">
    <w:panose1 w:val="02010601030101010101"/>
    <w:charset w:val="86"/>
    <w:family w:val="auto"/>
    <w:pitch w:val="default"/>
    <w:sig w:usb0="00000001" w:usb1="080E0000" w:usb2="00000000" w:usb3="00000000" w:csb0="00040000" w:csb1="00000000"/>
    <w:embedRegular r:id="rId3" w:fontKey="{F5D29FBB-2269-40B0-85A2-0C9D8817C146}"/>
  </w:font>
  <w:font w:name="华文仿宋">
    <w:panose1 w:val="0201060004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OGY0YWViZDVmYmFlN2IxZTExYTgyNzBhZjQxNzgifQ=="/>
  </w:docVars>
  <w:rsids>
    <w:rsidRoot w:val="6C762C4F"/>
    <w:rsid w:val="14676633"/>
    <w:rsid w:val="18B42CF3"/>
    <w:rsid w:val="1A9F423A"/>
    <w:rsid w:val="208C39AB"/>
    <w:rsid w:val="23C62375"/>
    <w:rsid w:val="29EAECD1"/>
    <w:rsid w:val="307D29C3"/>
    <w:rsid w:val="388D6BC5"/>
    <w:rsid w:val="3B3C10D6"/>
    <w:rsid w:val="3DAA3A4B"/>
    <w:rsid w:val="3DFFFE57"/>
    <w:rsid w:val="40F33BDD"/>
    <w:rsid w:val="43307086"/>
    <w:rsid w:val="4F9A4155"/>
    <w:rsid w:val="4FE36A9A"/>
    <w:rsid w:val="518E4531"/>
    <w:rsid w:val="5C5D420F"/>
    <w:rsid w:val="5F6F872E"/>
    <w:rsid w:val="6C762C4F"/>
    <w:rsid w:val="6FAE6989"/>
    <w:rsid w:val="6FB7617E"/>
    <w:rsid w:val="75FF0AC2"/>
    <w:rsid w:val="76655F35"/>
    <w:rsid w:val="77D64CE8"/>
    <w:rsid w:val="78BD42DF"/>
    <w:rsid w:val="7A5EF601"/>
    <w:rsid w:val="7DF7789C"/>
    <w:rsid w:val="7F6EFCE2"/>
    <w:rsid w:val="7FDEFB3C"/>
    <w:rsid w:val="7FFB437E"/>
    <w:rsid w:val="7FFFA3D0"/>
    <w:rsid w:val="CBF22F75"/>
    <w:rsid w:val="DDFEEA68"/>
    <w:rsid w:val="DF3EB50B"/>
    <w:rsid w:val="DFF12045"/>
    <w:rsid w:val="E1AFBFA5"/>
    <w:rsid w:val="E35F1AFC"/>
    <w:rsid w:val="EF0DCA8B"/>
    <w:rsid w:val="F77CD7C1"/>
    <w:rsid w:val="FB383829"/>
    <w:rsid w:val="FF77BE15"/>
    <w:rsid w:val="FFFEC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next w:val="1"/>
    <w:qFormat/>
    <w:uiPriority w:val="0"/>
    <w:pPr>
      <w:ind w:firstLine="420"/>
    </w:pPr>
  </w:style>
  <w:style w:type="paragraph" w:customStyle="1" w:styleId="10">
    <w:name w:val="UserStyle_0"/>
    <w:basedOn w:val="11"/>
    <w:qFormat/>
    <w:uiPriority w:val="0"/>
    <w:pPr>
      <w:spacing w:line="567" w:lineRule="exact"/>
      <w:ind w:firstLine="200" w:firstLineChars="200"/>
    </w:pPr>
  </w:style>
  <w:style w:type="paragraph" w:customStyle="1" w:styleId="11">
    <w:name w:val="UserStyle_1"/>
    <w:basedOn w:val="12"/>
    <w:qFormat/>
    <w:uiPriority w:val="0"/>
    <w:pPr>
      <w:spacing w:line="567" w:lineRule="atLeast"/>
      <w:jc w:val="both"/>
    </w:pPr>
    <w:rPr>
      <w:rFonts w:eastAsia="方正仿宋_GBK"/>
      <w:sz w:val="32"/>
    </w:rPr>
  </w:style>
  <w:style w:type="paragraph" w:customStyle="1" w:styleId="12">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970</Words>
  <Characters>1011</Characters>
  <Lines>0</Lines>
  <Paragraphs>0</Paragraphs>
  <TotalTime>2</TotalTime>
  <ScaleCrop>false</ScaleCrop>
  <LinksUpToDate>false</LinksUpToDate>
  <CharactersWithSpaces>1036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2024-09-01T01:59:00Z</dcterms:created>
  <dc:creator>涵 花 花 </dc:creator>
  <cp:lastModifiedBy>Administrator</cp:lastModifiedBy>
  <cp:lastPrinted>2024-12-13T20:23:00Z</cp:lastPrinted>
  <dcterms:modified xsi:type="dcterms:W3CDTF">2024-12-24T07:34:10Z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