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宋体" w:hAnsi="宋体" w:eastAsia="宋体" w:cs="宋体"/>
          <w:color w:val="auto"/>
          <w:sz w:val="28"/>
          <w:szCs w:val="28"/>
          <w:u w:val="none"/>
          <w:lang w:val="en-US" w:eastAsia="zh-CN"/>
        </w:rPr>
      </w:pPr>
      <w:r>
        <w:rPr>
          <w:rFonts w:hint="eastAsia" w:ascii="宋体" w:hAnsi="宋体" w:eastAsia="宋体" w:cs="宋体"/>
          <w:b w:val="0"/>
          <w:bCs w:val="0"/>
          <w:color w:val="auto"/>
          <w:kern w:val="2"/>
          <w:sz w:val="28"/>
          <w:szCs w:val="28"/>
          <w:u w:val="none"/>
          <w:lang w:val="en-US" w:eastAsia="zh-CN"/>
        </w:rPr>
        <w:t>川林资许准（乐）〔2024〕116号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w:t>
      </w:r>
      <w:bookmarkStart w:id="0" w:name="_GoBack"/>
      <w:r>
        <w:rPr>
          <w:rFonts w:hint="default" w:ascii="Times New Roman" w:hAnsi="Times New Roman" w:eastAsia="方正小标宋_GBK" w:cs="Times New Roman"/>
          <w:b w:val="0"/>
          <w:bCs w:val="0"/>
          <w:color w:val="auto"/>
          <w:w w:val="100"/>
          <w:sz w:val="44"/>
          <w:szCs w:val="44"/>
          <w:lang w:eastAsia="zh-CN"/>
        </w:rPr>
        <w:t>准予井研县2024年第2批次农村村民宅基地项目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bookmarkEnd w:id="0"/>
    </w:p>
    <w:p>
      <w:pPr>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54"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井研县自然资源局</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54"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beforeLines="0" w:afterLines="0" w:line="554"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井研县2024年第2批次农村村民宅基地项目”（农村宅基地和建房（规划许可）审批表）占用乐山市林地1.0124公顷。按林地权属划分，国有0公顷、集体1.0124公顷；按行政区域划分，井研县1.0124公顷（宝五镇0.0491公顷、纯复镇0.0771公顷、集益镇0.0809公顷、马踏镇0.1528公顷、门坎镇0.0418公顷、千佛镇0.0516公顷、三江镇0.0566公顷、竹园镇0.0643公顷、周坡镇0.2047公顷、王村镇0.1272公顷、东林镇0.0668公顷、研经镇0.0395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井研县2024年第2批次农村村民宅基地项目使用林地现状调查表》一致。若准予的面积与全省新一轮林地保护利用规划的法定林地数据不一致，你单位须及时办理相关变更手续。</w:t>
      </w:r>
    </w:p>
    <w:p>
      <w:pPr>
        <w:keepNext w:val="0"/>
        <w:keepLines w:val="0"/>
        <w:pageBreakBefore w:val="0"/>
        <w:kinsoku/>
        <w:wordWrap/>
        <w:overflowPunct/>
        <w:topLinePunct w:val="0"/>
        <w:autoSpaceDE/>
        <w:autoSpaceDN/>
        <w:bidi w:val="0"/>
        <w:adjustRightInd/>
        <w:snapToGrid/>
        <w:spacing w:beforeLines="0" w:afterLines="0" w:line="554"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beforeLines="0" w:afterLines="0" w:line="554"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54"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54"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54"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54"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keepNext w:val="0"/>
        <w:keepLines w:val="0"/>
        <w:pageBreakBefore w:val="0"/>
        <w:kinsoku/>
        <w:wordWrap/>
        <w:overflowPunct/>
        <w:topLinePunct w:val="0"/>
        <w:autoSpaceDE/>
        <w:autoSpaceDN/>
        <w:bidi w:val="0"/>
        <w:adjustRightInd/>
        <w:snapToGrid/>
        <w:spacing w:beforeLines="0" w:afterLines="0" w:line="554" w:lineRule="exact"/>
        <w:textAlignment w:val="auto"/>
        <w:rPr>
          <w:rFonts w:hint="eastAsia" w:ascii="仿宋_GB2312" w:hAnsi="仿宋_GB2312" w:eastAsia="仿宋_GB2312" w:cs="仿宋_GB2312"/>
          <w:color w:val="auto"/>
          <w:sz w:val="32"/>
          <w:szCs w:val="32"/>
          <w:u w:val="none"/>
          <w:lang w:val="en-US" w:eastAsia="zh-CN"/>
        </w:rPr>
      </w:pPr>
    </w:p>
    <w:p>
      <w:pPr>
        <w:pStyle w:val="6"/>
        <w:keepNext w:val="0"/>
        <w:keepLines w:val="0"/>
        <w:pageBreakBefore w:val="0"/>
        <w:kinsoku/>
        <w:wordWrap/>
        <w:overflowPunct/>
        <w:topLinePunct w:val="0"/>
        <w:autoSpaceDE/>
        <w:autoSpaceDN/>
        <w:bidi w:val="0"/>
        <w:adjustRightInd/>
        <w:snapToGrid/>
        <w:spacing w:beforeLines="0" w:afterLines="0" w:line="554" w:lineRule="exac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54"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54"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textAlignment w:val="auto"/>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rPr>
          <w:rFonts w:hint="eastAsia" w:ascii="仿宋_GB2312" w:hAnsi="仿宋_GB2312" w:eastAsia="仿宋_GB2312" w:cs="仿宋_GB2312"/>
          <w:b w:val="0"/>
          <w:bCs w:val="0"/>
          <w:color w:val="0000FF"/>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554"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54" w:lineRule="exact"/>
        <w:ind w:left="840" w:leftChars="0" w:right="0" w:rightChars="0" w:hanging="840" w:hangingChars="300"/>
        <w:textAlignment w:val="auto"/>
        <w:rPr>
          <w:rFonts w:hint="eastAsia" w:asciiTheme="minorEastAsia" w:hAnsiTheme="minorEastAsia" w:eastAsiaTheme="minorEastAsia" w:cstheme="minorEastAsia"/>
          <w:color w:val="auto"/>
          <w:spacing w:val="0"/>
          <w:sz w:val="28"/>
          <w:szCs w:val="28"/>
          <w:u w:val="none"/>
          <w:lang w:val="en-US" w:eastAsia="zh-CN"/>
        </w:rPr>
      </w:pPr>
      <w:r>
        <w:rPr>
          <w:rFonts w:hint="eastAsia" w:asciiTheme="minorEastAsia" w:hAnsiTheme="minorEastAsia" w:eastAsiaTheme="minorEastAsia" w:cstheme="minorEastAsia"/>
          <w:b w:val="0"/>
          <w:bCs w:val="0"/>
          <w:color w:val="auto"/>
          <w:spacing w:val="0"/>
          <w:sz w:val="28"/>
          <w:szCs w:val="28"/>
          <w:u w:val="none"/>
        </w:rPr>
        <w:t>抄送：</w:t>
      </w:r>
      <w:r>
        <w:rPr>
          <w:rFonts w:hint="eastAsia" w:asciiTheme="minorEastAsia" w:hAnsiTheme="minorEastAsia" w:eastAsiaTheme="minorEastAsia" w:cstheme="minorEastAsia"/>
          <w:color w:val="auto"/>
          <w:spacing w:val="0"/>
          <w:sz w:val="28"/>
          <w:szCs w:val="28"/>
          <w:u w:val="none"/>
        </w:rPr>
        <w:t>国家林业和草原局成都专员办，</w:t>
      </w:r>
      <w:r>
        <w:rPr>
          <w:rFonts w:hint="eastAsia" w:asciiTheme="minorEastAsia" w:hAnsiTheme="minorEastAsia" w:eastAsiaTheme="minorEastAsia" w:cstheme="minorEastAsia"/>
          <w:color w:val="auto"/>
          <w:spacing w:val="0"/>
          <w:sz w:val="28"/>
          <w:szCs w:val="28"/>
          <w:u w:val="none"/>
          <w:lang w:eastAsia="zh-CN"/>
        </w:rPr>
        <w:t>四川省</w:t>
      </w:r>
      <w:r>
        <w:rPr>
          <w:rFonts w:hint="eastAsia" w:asciiTheme="minorEastAsia" w:hAnsiTheme="minorEastAsia" w:eastAsiaTheme="minorEastAsia" w:cstheme="minorEastAsia"/>
          <w:color w:val="auto"/>
          <w:spacing w:val="0"/>
          <w:sz w:val="28"/>
          <w:szCs w:val="28"/>
          <w:u w:val="none"/>
          <w:lang w:val="en-US" w:eastAsia="zh-CN"/>
        </w:rPr>
        <w:t>林业和草原局，乐山市</w:t>
      </w:r>
    </w:p>
    <w:p>
      <w:pPr>
        <w:pStyle w:val="6"/>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textAlignment w:val="auto"/>
        <w:rPr>
          <w:rFonts w:hint="eastAsia" w:ascii="仿宋_GB2312" w:hAnsi="仿宋_GB2312" w:eastAsia="仿宋_GB2312" w:cs="仿宋_GB2312"/>
          <w:color w:val="auto"/>
          <w:sz w:val="32"/>
          <w:szCs w:val="32"/>
          <w:u w:val="single"/>
        </w:rPr>
      </w:pPr>
      <w:r>
        <w:rPr>
          <w:rFonts w:hint="eastAsia" w:asciiTheme="minorEastAsia" w:hAnsiTheme="minorEastAsia" w:eastAsiaTheme="minorEastAsia" w:cstheme="minorEastAsia"/>
          <w:color w:val="auto"/>
          <w:spacing w:val="0"/>
          <w:sz w:val="28"/>
          <w:szCs w:val="28"/>
          <w:u w:val="single"/>
          <w:lang w:val="en-US" w:eastAsia="zh-CN"/>
        </w:rPr>
        <w:t xml:space="preserve">      自然资源和规划局，井研县自然资源局。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DA62742-E6F7-4B9A-85FE-481375D4600D}"/>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7B0F28A0-8AB9-4046-8B6A-9D621A94F4FF}"/>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0E178263-BC00-43F9-9D90-E876A6DC4D32}"/>
  </w:font>
  <w:font w:name="方正小标宋简体">
    <w:panose1 w:val="02010601030101010101"/>
    <w:charset w:val="86"/>
    <w:family w:val="auto"/>
    <w:pitch w:val="default"/>
    <w:sig w:usb0="00000001" w:usb1="080E0000" w:usb2="00000000" w:usb3="00000000" w:csb0="00040000" w:csb1="00000000"/>
    <w:embedRegular r:id="rId4" w:fontKey="{4D4774B6-1896-4396-AFCB-306EEB400CF2}"/>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14676633"/>
    <w:rsid w:val="18B42CF3"/>
    <w:rsid w:val="1A9F423A"/>
    <w:rsid w:val="208C39AB"/>
    <w:rsid w:val="23C62375"/>
    <w:rsid w:val="307D29C3"/>
    <w:rsid w:val="3B3C10D6"/>
    <w:rsid w:val="3DAA3A4B"/>
    <w:rsid w:val="3DFFFE57"/>
    <w:rsid w:val="41A22BE6"/>
    <w:rsid w:val="43307086"/>
    <w:rsid w:val="518E4531"/>
    <w:rsid w:val="5C5D420F"/>
    <w:rsid w:val="5F6F872E"/>
    <w:rsid w:val="6C762C4F"/>
    <w:rsid w:val="6FAE6989"/>
    <w:rsid w:val="6FB7617E"/>
    <w:rsid w:val="76655F35"/>
    <w:rsid w:val="77D64CE8"/>
    <w:rsid w:val="7A5EF601"/>
    <w:rsid w:val="7DF7789C"/>
    <w:rsid w:val="7FDEFB3C"/>
    <w:rsid w:val="7FFB437E"/>
    <w:rsid w:val="CBF22F75"/>
    <w:rsid w:val="DDFEEA68"/>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1048</Words>
  <Characters>1126</Characters>
  <Lines>0</Lines>
  <Paragraphs>0</Paragraphs>
  <TotalTime>1</TotalTime>
  <ScaleCrop>false</ScaleCrop>
  <LinksUpToDate>false</LinksUpToDate>
  <CharactersWithSpaces>1154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2024-08-31T01:59:00Z</dcterms:created>
  <dc:creator>涵 花 花 </dc:creator>
  <cp:lastModifiedBy>Administrator</cp:lastModifiedBy>
  <cp:lastPrinted>2024-11-25T18:20:00Z</cp:lastPrinted>
  <dcterms:modified xsi:type="dcterms:W3CDTF">2024-12-03T04:39:33Z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