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川林资许准（乐）〔2024〕160号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黄弯村垃圾压缩中转站（含龙洞一组、五显岗停车场垃圾压缩转运车中转站）项目</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峨眉山风景名胜区管理委员会</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黄弯村垃圾压缩中转站（含龙洞一组、五显岗停车场垃圾压缩转运车中转站）项目”（项目代码：2018-511181-78-01-245027）占用乐山市林地0.1012公顷。按林地权属划分，国有0公顷、集体0.1012公顷；按行政区域划分，峨眉山市0.1012公顷（黄湾镇0.1012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黄弯村垃圾压缩中转站（含龙洞一组、五显岗停车场垃圾压缩转运车中转站）项目使用林地可行性报告》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kern w:val="2"/>
          <w:sz w:val="32"/>
          <w:szCs w:val="32"/>
          <w:u w:val="none"/>
          <w:lang w:val="en-US" w:eastAsia="zh-CN" w:bidi="ar-SA"/>
        </w:rPr>
        <w:t>四、本</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涉及</w:t>
      </w:r>
      <w:r>
        <w:rPr>
          <w:rFonts w:hint="eastAsia" w:ascii="仿宋_GB2312" w:hAnsi="仿宋_GB2312" w:eastAsia="仿宋_GB2312" w:cs="仿宋_GB2312"/>
          <w:b w:val="0"/>
          <w:bCs w:val="0"/>
          <w:color w:val="auto"/>
          <w:kern w:val="2"/>
          <w:sz w:val="32"/>
          <w:szCs w:val="32"/>
          <w:highlight w:val="none"/>
          <w:u w:val="none"/>
          <w:lang w:val="en-US" w:eastAsia="zh-CN" w:bidi="ar-SA"/>
        </w:rPr>
        <w:t>峨眉山风景名胜区、峨眉山-乐山大佛世界文化和自然遗产</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b w:val="0"/>
          <w:bCs w:val="0"/>
          <w:color w:val="auto"/>
          <w:kern w:val="2"/>
          <w:sz w:val="32"/>
          <w:szCs w:val="32"/>
          <w:highlight w:val="none"/>
          <w:u w:val="none"/>
          <w:lang w:val="en-US" w:eastAsia="zh-CN" w:bidi="ar-SA"/>
        </w:rPr>
        <w:t>单位</w:t>
      </w:r>
      <w:r>
        <w:rPr>
          <w:rFonts w:hint="eastAsia" w:ascii="仿宋_GB2312" w:hAnsi="仿宋_GB2312" w:eastAsia="仿宋_GB2312" w:cs="仿宋_GB2312"/>
          <w:b w:val="0"/>
          <w:bCs w:val="0"/>
          <w:color w:val="auto"/>
          <w:kern w:val="2"/>
          <w:sz w:val="32"/>
          <w:szCs w:val="32"/>
          <w:u w:val="none"/>
          <w:lang w:val="en-US" w:eastAsia="zh-CN" w:bidi="ar-SA"/>
        </w:rPr>
        <w:t>须严格按照《乐山市林业和园林局关于同意补办已建黄弯村垃圾压缩中转站(含龙洞一组、五显岗停车场垃圾压缩转运车中转站)进人峨眉山风景名胜区的批复》（</w:t>
      </w:r>
      <w:r>
        <w:rPr>
          <w:rFonts w:hint="eastAsia" w:ascii="仿宋_GB2312" w:hAnsi="仿宋_GB2312" w:eastAsia="仿宋_GB2312" w:cs="仿宋_GB2312"/>
          <w:b w:val="0"/>
          <w:bCs w:val="0"/>
          <w:color w:val="auto"/>
          <w:kern w:val="2"/>
          <w:sz w:val="32"/>
          <w:szCs w:val="32"/>
          <w:highlight w:val="none"/>
          <w:u w:val="none"/>
          <w:lang w:val="en-US" w:eastAsia="zh-CN" w:bidi="ar-SA"/>
        </w:rPr>
        <w:t>乐市林函</w:t>
      </w:r>
      <w:r>
        <w:rPr>
          <w:rFonts w:hint="eastAsia" w:ascii="仿宋_GB2312" w:hAnsi="仿宋_GB2312" w:eastAsia="仿宋_GB2312" w:cs="仿宋_GB2312"/>
          <w:b w:val="0"/>
          <w:bCs w:val="0"/>
          <w:color w:val="auto"/>
          <w:kern w:val="2"/>
          <w:sz w:val="32"/>
          <w:szCs w:val="32"/>
          <w:u w:val="none"/>
          <w:lang w:val="en-US" w:eastAsia="zh-CN"/>
        </w:rPr>
        <w:t>〔2024〕112号</w:t>
      </w:r>
      <w:r>
        <w:rPr>
          <w:rFonts w:hint="eastAsia" w:ascii="仿宋_GB2312" w:hAnsi="仿宋_GB2312" w:eastAsia="仿宋_GB2312" w:cs="仿宋_GB2312"/>
          <w:b w:val="0"/>
          <w:bCs w:val="0"/>
          <w:color w:val="auto"/>
          <w:kern w:val="2"/>
          <w:sz w:val="32"/>
          <w:szCs w:val="32"/>
          <w:u w:val="none"/>
          <w:lang w:val="en-US" w:eastAsia="zh-CN" w:bidi="ar-SA"/>
        </w:rPr>
        <w:t>）和《乐山市林业和园林局关于同意已建黄弯村垃圾压缩中转站项目(含龙洞一组、五显岗停车场垃圾压缩转运车中转站)进人峨眉山-乐山大佛世界文化和自然遗产的审核意见》（</w:t>
      </w:r>
      <w:r>
        <w:rPr>
          <w:rFonts w:hint="eastAsia" w:ascii="仿宋_GB2312" w:hAnsi="仿宋_GB2312" w:eastAsia="仿宋_GB2312" w:cs="仿宋_GB2312"/>
          <w:b w:val="0"/>
          <w:bCs w:val="0"/>
          <w:color w:val="auto"/>
          <w:kern w:val="2"/>
          <w:sz w:val="32"/>
          <w:szCs w:val="32"/>
          <w:highlight w:val="none"/>
          <w:u w:val="none"/>
          <w:lang w:val="en-US" w:eastAsia="zh-CN" w:bidi="ar-SA"/>
        </w:rPr>
        <w:t>乐市林函</w:t>
      </w:r>
      <w:r>
        <w:rPr>
          <w:rFonts w:hint="eastAsia" w:ascii="仿宋_GB2312" w:hAnsi="仿宋_GB2312" w:eastAsia="仿宋_GB2312" w:cs="仿宋_GB2312"/>
          <w:b w:val="0"/>
          <w:bCs w:val="0"/>
          <w:color w:val="auto"/>
          <w:kern w:val="2"/>
          <w:sz w:val="32"/>
          <w:szCs w:val="32"/>
          <w:u w:val="none"/>
          <w:lang w:val="en-US" w:eastAsia="zh-CN"/>
        </w:rPr>
        <w:t>〔2024〕111号</w:t>
      </w:r>
      <w:r>
        <w:rPr>
          <w:rFonts w:hint="eastAsia" w:ascii="仿宋_GB2312" w:hAnsi="仿宋_GB2312" w:eastAsia="仿宋_GB2312" w:cs="仿宋_GB2312"/>
          <w:b w:val="0"/>
          <w:bCs w:val="0"/>
          <w:color w:val="auto"/>
          <w:kern w:val="2"/>
          <w:sz w:val="32"/>
          <w:szCs w:val="32"/>
          <w:u w:val="none"/>
          <w:lang w:val="en-US" w:eastAsia="zh-CN" w:bidi="ar-SA"/>
        </w:rPr>
        <w:t>）执行。</w:t>
      </w:r>
      <w:r>
        <w:rPr>
          <w:rFonts w:hint="eastAsia" w:ascii="仿宋_GB2312" w:hAnsi="仿宋_GB2312" w:eastAsia="仿宋_GB2312" w:cs="仿宋_GB2312"/>
          <w:b w:val="0"/>
          <w:bCs w:val="0"/>
          <w:color w:val="auto"/>
          <w:sz w:val="32"/>
          <w:szCs w:val="32"/>
          <w:u w:val="none"/>
          <w:lang w:val="en-US" w:eastAsia="zh-CN"/>
        </w:rPr>
        <w:t>并严格执行</w:t>
      </w:r>
      <w:r>
        <w:rPr>
          <w:rFonts w:hint="eastAsia" w:ascii="仿宋_GB2312" w:hAnsi="仿宋_GB2312" w:eastAsia="仿宋_GB2312" w:cs="仿宋_GB2312"/>
          <w:b w:val="0"/>
          <w:bCs w:val="0"/>
          <w:color w:val="auto"/>
          <w:kern w:val="2"/>
          <w:sz w:val="32"/>
          <w:szCs w:val="32"/>
          <w:highlight w:val="none"/>
          <w:u w:val="none"/>
          <w:lang w:val="en-US" w:eastAsia="zh-CN" w:bidi="ar-SA"/>
        </w:rPr>
        <w:t>峨眉山风景名胜区、峨眉山-乐山大佛世界文化和自然遗产</w:t>
      </w:r>
      <w:r>
        <w:rPr>
          <w:rFonts w:hint="eastAsia" w:ascii="仿宋_GB2312" w:hAnsi="仿宋_GB2312" w:eastAsia="仿宋_GB2312" w:cs="仿宋_GB2312"/>
          <w:b w:val="0"/>
          <w:bCs w:val="0"/>
          <w:color w:val="auto"/>
          <w:sz w:val="32"/>
          <w:szCs w:val="32"/>
          <w:u w:val="none"/>
          <w:lang w:val="en-US" w:eastAsia="zh-CN"/>
        </w:rPr>
        <w:t>管理等相关规定，</w:t>
      </w:r>
      <w:r>
        <w:rPr>
          <w:rFonts w:hint="eastAsia" w:ascii="仿宋_GB2312" w:hAnsi="仿宋_GB2312" w:eastAsia="仿宋_GB2312" w:cs="仿宋_GB2312"/>
          <w:i w:val="0"/>
          <w:caps w:val="0"/>
          <w:color w:val="auto"/>
          <w:spacing w:val="0"/>
          <w:kern w:val="2"/>
          <w:sz w:val="32"/>
          <w:szCs w:val="32"/>
          <w:u w:val="none"/>
          <w:shd w:val="clear"/>
          <w:lang w:val="en-US" w:eastAsia="zh-CN" w:bidi="ar"/>
        </w:rPr>
        <w:t>采取必要措施减轻对</w:t>
      </w:r>
      <w:r>
        <w:rPr>
          <w:rFonts w:hint="eastAsia" w:ascii="仿宋_GB2312" w:hAnsi="仿宋_GB2312" w:eastAsia="仿宋_GB2312" w:cs="仿宋_GB2312"/>
          <w:b w:val="0"/>
          <w:bCs w:val="0"/>
          <w:color w:val="auto"/>
          <w:kern w:val="2"/>
          <w:sz w:val="32"/>
          <w:szCs w:val="32"/>
          <w:highlight w:val="none"/>
          <w:u w:val="none"/>
          <w:lang w:val="en-US" w:eastAsia="zh-CN" w:bidi="ar-SA"/>
        </w:rPr>
        <w:t>峨眉山风景名胜区、峨眉山-乐山大佛世界文化和自然遗产</w:t>
      </w:r>
      <w:r>
        <w:rPr>
          <w:rFonts w:hint="eastAsia" w:ascii="仿宋_GB2312" w:hAnsi="仿宋_GB2312" w:eastAsia="仿宋_GB2312" w:cs="仿宋_GB2312"/>
          <w:i w:val="0"/>
          <w:caps w:val="0"/>
          <w:color w:val="auto"/>
          <w:spacing w:val="0"/>
          <w:kern w:val="2"/>
          <w:sz w:val="32"/>
          <w:szCs w:val="32"/>
          <w:u w:val="none"/>
          <w:shd w:val="clear"/>
          <w:lang w:val="en-US" w:eastAsia="zh-CN" w:bidi="ar"/>
        </w:rPr>
        <w:t>生态功能的不利影响</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bookmarkStart w:id="0" w:name="_GoBack"/>
      <w:bookmarkEnd w:id="0"/>
      <w:r>
        <w:rPr>
          <w:rFonts w:hint="eastAsia" w:ascii="仿宋_GB2312" w:hAnsi="仿宋_GB2312" w:eastAsia="仿宋_GB2312" w:cs="仿宋_GB2312"/>
          <w:b w:val="0"/>
          <w:bCs w:val="0"/>
          <w:color w:val="auto"/>
          <w:sz w:val="32"/>
          <w:szCs w:val="32"/>
          <w:u w:val="none"/>
          <w:lang w:val="en-US" w:eastAsia="zh-CN"/>
        </w:rPr>
        <w:t>五、国家林业和草原局成都专员办及四川省林业和草原局等地方各级林草主管部门将依法对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七、本决定书有效期为两年。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仿宋_GB2312" w:hAnsi="仿宋_GB2312" w:eastAsia="仿宋_GB2312" w:cs="仿宋_GB2312"/>
          <w:color w:val="auto"/>
          <w:sz w:val="32"/>
          <w:szCs w:val="32"/>
          <w:u w:val="none"/>
          <w:lang w:val="en-US"/>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然资源和规划局，峨眉山市自然资源局。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87D9D1B-B04E-4FA3-8178-398FFF96891D}"/>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4407F013-C795-4ABD-8285-A40A1489E96D}"/>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FE306384-78E1-4D36-99B7-F851361A4EA3}"/>
  </w:font>
  <w:font w:name="方正小标宋简体">
    <w:panose1 w:val="02010601030101010101"/>
    <w:charset w:val="86"/>
    <w:family w:val="auto"/>
    <w:pitch w:val="default"/>
    <w:sig w:usb0="00000001" w:usb1="080E0000" w:usb2="00000000" w:usb3="00000000" w:csb0="00040000" w:csb1="00000000"/>
    <w:embedRegular r:id="rId4" w:fontKey="{79CEA9EF-0B7E-4EF7-A3B0-F09F381DD394}"/>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38D1E7D"/>
    <w:rsid w:val="23C62375"/>
    <w:rsid w:val="307D29C3"/>
    <w:rsid w:val="35C43C99"/>
    <w:rsid w:val="3B3C10D6"/>
    <w:rsid w:val="3DAA3A4B"/>
    <w:rsid w:val="3FC66A38"/>
    <w:rsid w:val="43307086"/>
    <w:rsid w:val="43BC73E0"/>
    <w:rsid w:val="518E4531"/>
    <w:rsid w:val="5C5D420F"/>
    <w:rsid w:val="5E587B26"/>
    <w:rsid w:val="6C762C4F"/>
    <w:rsid w:val="76655F35"/>
    <w:rsid w:val="77D64CE8"/>
    <w:rsid w:val="7FDEFB3C"/>
    <w:rsid w:val="FF15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1317</Words>
  <Characters>1378</Characters>
  <Lines>0</Lines>
  <Paragraphs>0</Paragraphs>
  <TotalTime>5</TotalTime>
  <ScaleCrop>false</ScaleCrop>
  <LinksUpToDate>false</LinksUpToDate>
  <CharactersWithSpaces>1408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2024-12-31T07:20:36Z</cp:lastPrinted>
  <dcterms:modified xsi:type="dcterms:W3CDTF">2024-12-31T07:38:34Z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