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3570"/>
        </w:tabs>
        <w:suppressAutoHyphens/>
        <w:bidi w:val="0"/>
        <w:spacing w:line="240" w:lineRule="auto"/>
        <w:jc w:val="center"/>
        <w:rPr>
          <w:rFonts w:hint="eastAsia" w:ascii="方正小标宋_GBK" w:hAnsi="Calibri" w:eastAsia="方正小标宋_GBK" w:cs="Times New Roman"/>
          <w:color w:val="FF0000"/>
          <w:w w:val="90"/>
          <w:sz w:val="100"/>
          <w:szCs w:val="100"/>
          <w:u w:val="none"/>
        </w:rPr>
      </w:pPr>
      <w:bookmarkStart w:id="0" w:name="_GoBack"/>
      <w:r>
        <w:rPr>
          <w:rFonts w:ascii="Calibri" w:hAnsi="Calibri" w:eastAsia="宋体" w:cs="Times New Roman"/>
          <w:color w:val="auto"/>
          <w:sz w:val="100"/>
          <w:szCs w:val="21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832485</wp:posOffset>
                </wp:positionV>
                <wp:extent cx="5398135" cy="6985"/>
                <wp:effectExtent l="0" t="6350" r="1206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8135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2pt;margin-top:65.55pt;height:0.55pt;width:425.05pt;z-index:251658240;mso-width-relative:page;mso-height-relative:page;" filled="f" stroked="t" coordsize="21600,21600" o:gfxdata="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vIRn1wAAAAoBAAAPAAAAAAAAAAEAIAAAACIAAABkcnMvZG93bnJldi54bWxQSwECFAAUAAAACACH&#10;TuJAEGEXXuwBAACyAwAADgAAAAAAAAABACAAAAAmAQAAZHJzL2Uyb0RvYy54bWxQSwUGAAAAAAYA&#10;BgBZAQAAh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color w:val="auto"/>
          <w:sz w:val="1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807720</wp:posOffset>
                </wp:positionV>
                <wp:extent cx="5414645" cy="1270"/>
                <wp:effectExtent l="0" t="5715" r="1079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4645" cy="127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2pt;margin-top:63.6pt;height:0.1pt;width:426.35pt;z-index:251659264;mso-width-relative:page;mso-height-relative:page;" filled="f" stroked="t" coordsize="21600,21600" o:gfxdata="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5x9Gbb&#10;AAAACgEAAA8AAAAAAAAAAQAgAAAAIgAAAGRycy9kb3ducmV2LnhtbFBLAQIUABQAAAAIAIdO4kDS&#10;2tNp5AEAAKgDAAAOAAAAAAAAAAEAIAAAACoBAABkcnMvZTJvRG9jLnhtbFBLBQYAAAAABgAGAFkB&#10;AACA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Calibri" w:eastAsia="方正小标宋_GBK" w:cs="Times New Roman"/>
          <w:color w:val="FF0000"/>
          <w:w w:val="90"/>
          <w:sz w:val="100"/>
          <w:szCs w:val="100"/>
          <w:u w:val="none"/>
        </w:rPr>
        <w:t>乐山市林业和园林局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乐山市林业和园林局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关于召开《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峨眉山市金顶顺采黄山石灰石矿山开采三期、四期、五期、六期项目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使用林地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可行性报告》专家评审会议的通知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峨眉山市林业</w:t>
      </w:r>
      <w:r>
        <w:rPr>
          <w:rFonts w:hint="eastAsia" w:ascii="仿宋" w:hAnsi="仿宋" w:eastAsia="仿宋" w:cs="仿宋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你局</w:t>
      </w:r>
      <w:r>
        <w:rPr>
          <w:rFonts w:hint="eastAsia" w:ascii="仿宋" w:hAnsi="仿宋" w:eastAsia="仿宋" w:cs="仿宋"/>
          <w:sz w:val="32"/>
          <w:szCs w:val="32"/>
        </w:rPr>
        <w:t>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申请开展峨眉山市金顶顺采黄山石灰石矿山开采三期、四期、五期、六期项目</w:t>
      </w:r>
      <w:r>
        <w:rPr>
          <w:rFonts w:hint="eastAsia" w:ascii="仿宋" w:hAnsi="仿宋" w:eastAsia="仿宋" w:cs="仿宋"/>
          <w:sz w:val="32"/>
          <w:szCs w:val="32"/>
        </w:rPr>
        <w:t>使用林地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可行性报告</w:t>
      </w:r>
      <w:r>
        <w:rPr>
          <w:rFonts w:hint="eastAsia" w:ascii="仿宋" w:hAnsi="仿宋" w:eastAsia="仿宋" w:cs="仿宋"/>
          <w:sz w:val="32"/>
          <w:szCs w:val="32"/>
        </w:rPr>
        <w:t>评审的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（峨市林〔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为更好服务项目建设，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  <w:lang w:bidi="ar"/>
        </w:rPr>
        <w:t>根据《森林法》及其实施条例和《建设项目使用林地审核审批管理办法》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《四川省建设项目使用林地评审办法》等规定。</w:t>
      </w:r>
      <w:r>
        <w:rPr>
          <w:rFonts w:hint="eastAsia" w:ascii="仿宋" w:hAnsi="仿宋" w:eastAsia="仿宋" w:cs="仿宋"/>
          <w:sz w:val="32"/>
          <w:szCs w:val="32"/>
        </w:rPr>
        <w:t>经研究，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就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召开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峨眉山市金顶顺采黄山石灰石矿山开采三期、四期、五期、六期项目</w:t>
      </w:r>
      <w:r>
        <w:rPr>
          <w:rFonts w:hint="eastAsia" w:ascii="仿宋" w:hAnsi="仿宋" w:eastAsia="仿宋" w:cs="仿宋"/>
          <w:sz w:val="32"/>
          <w:szCs w:val="32"/>
        </w:rPr>
        <w:t>使用林地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可行性报告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（以下简称“《报告》”）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专家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评审会议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有关事宜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通知如下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一、评审项目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峨眉山市金顶顺采黄山石灰石矿山开采三期、四期、五期、六期项目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二、评审时间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2025年1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日，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-1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00时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三、评审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  <w:t>地点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及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 w:bidi="ar"/>
        </w:rPr>
        <w:t>乐山市林业和园林局（乐山市市中区春华路西段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 w:bidi="ar"/>
        </w:rPr>
        <w:t>553号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 w:bidi="ar"/>
        </w:rPr>
        <w:t>5楼505会议室，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 w:bidi="ar"/>
        </w:rPr>
        <w:t>现场会议评审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四、参会人员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评审专家、资料审核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专家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森林资源管理科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2人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、行政审批科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1人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项目法人单位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2人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峨眉山市林业局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人、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《报告》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编制单位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相关人员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五、会议议程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（一）主持人介绍评审专家、资料审核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专家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，局参会有关部门、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峨眉山市林业局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，项目法人单位、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《报告》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编制单位等。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（二）专家组组长组织评审。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1.项目单位介绍项目情况。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报告编制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单位介绍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报告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资料审核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专家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介绍项目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占地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审核情况。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市林业园林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局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相关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科室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峨眉山市林业局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.专家评审。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.形成专家组意见。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（三）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主持人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小结并提出相关要求。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六、其他事项及要求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评审专家组由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名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评审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专家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1名资料审核专家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组成。项目编制单位应提前将建设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项目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相关资料、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数据送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乐山市林业和园林局森林资源管理科进行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资料审查。资料审核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单位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对项目占地红线范围、森林资源管理“一张图”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、林业主管部门与自然资源主管部门林地认定结果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和卫星遥感影像资料、是否存在未批先占、是否涉及自然保护地及生态红线等敏感区进行审核，于会前出具审核结果并送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森林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资源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管理科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评审专家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应当严格遵循“不占或者少占林地”“节约集约利用林地”的原则，按照《建设项目使用林地审核审批管理办法》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《四川省建设项目使用林地评审办法》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等规定和要求，依法、科学、规范开展《报告》评审。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（二）评审专家将书面评审意见签名后汇集至专家组组长处。评审结束后，专家组形成书面意见并由专家组组长签名反馈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市局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森林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资源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管理科，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《报告》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需要修改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的须在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个工作日内完成。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专家书面审查意见、技术审核意见以及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《报告》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问题修改对照表送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森林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资源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管理科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请会务承担单位和参会人员严格按照中央八项规定、省委省政府十项规定等相关要求承办和参加会议。有关咨询评审费，按照相关规定和标准向被邀请专家支付。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乐山市林业和园林局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联系人：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闵俊贤，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电话：13981343206。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eastAsia="仿宋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  <w:lang w:val="en-US" w:eastAsia="zh-CN"/>
        </w:rPr>
        <w:t>信息公开选项：不予公开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eastAsia="zh-CN"/>
        </w:rPr>
        <w:t>抄送：四川金顶顺采矿业有限公司、四川省林业和草原调查规划院。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F7CE2"/>
    <w:multiLevelType w:val="singleLevel"/>
    <w:tmpl w:val="FDBF7C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EF"/>
    <w:rsid w:val="00024DEA"/>
    <w:rsid w:val="000E321A"/>
    <w:rsid w:val="001B4FA6"/>
    <w:rsid w:val="001C17EF"/>
    <w:rsid w:val="001D068E"/>
    <w:rsid w:val="001F4126"/>
    <w:rsid w:val="00256656"/>
    <w:rsid w:val="00285BC6"/>
    <w:rsid w:val="002C5D11"/>
    <w:rsid w:val="002E10ED"/>
    <w:rsid w:val="003A7165"/>
    <w:rsid w:val="003C16DB"/>
    <w:rsid w:val="003D7827"/>
    <w:rsid w:val="00400ABE"/>
    <w:rsid w:val="004040CB"/>
    <w:rsid w:val="00445DA1"/>
    <w:rsid w:val="004512F6"/>
    <w:rsid w:val="00484AA4"/>
    <w:rsid w:val="00497AFF"/>
    <w:rsid w:val="004A430D"/>
    <w:rsid w:val="004F22FB"/>
    <w:rsid w:val="004F3A62"/>
    <w:rsid w:val="00532275"/>
    <w:rsid w:val="005448AB"/>
    <w:rsid w:val="00564AED"/>
    <w:rsid w:val="00576D8E"/>
    <w:rsid w:val="00671E21"/>
    <w:rsid w:val="0076431C"/>
    <w:rsid w:val="008A20F9"/>
    <w:rsid w:val="008A2EE8"/>
    <w:rsid w:val="008F2B8A"/>
    <w:rsid w:val="00A00A95"/>
    <w:rsid w:val="00AC2B19"/>
    <w:rsid w:val="00AD77E0"/>
    <w:rsid w:val="00AE0AF0"/>
    <w:rsid w:val="00B140CF"/>
    <w:rsid w:val="00B17933"/>
    <w:rsid w:val="00B470B2"/>
    <w:rsid w:val="00B53DA9"/>
    <w:rsid w:val="00BA054A"/>
    <w:rsid w:val="00BA145E"/>
    <w:rsid w:val="00D71448"/>
    <w:rsid w:val="00DA0CF8"/>
    <w:rsid w:val="00DE0950"/>
    <w:rsid w:val="00E03B9E"/>
    <w:rsid w:val="00E34DC6"/>
    <w:rsid w:val="00E56190"/>
    <w:rsid w:val="00EE48FB"/>
    <w:rsid w:val="00F31DA0"/>
    <w:rsid w:val="00F35DF5"/>
    <w:rsid w:val="00FD37E6"/>
    <w:rsid w:val="02D237A0"/>
    <w:rsid w:val="04B42CF1"/>
    <w:rsid w:val="0E952C12"/>
    <w:rsid w:val="11D979C1"/>
    <w:rsid w:val="13AD1291"/>
    <w:rsid w:val="14B35C2C"/>
    <w:rsid w:val="160E35AA"/>
    <w:rsid w:val="17452CC9"/>
    <w:rsid w:val="1FBFB4E8"/>
    <w:rsid w:val="229C086C"/>
    <w:rsid w:val="234A76E0"/>
    <w:rsid w:val="242925AD"/>
    <w:rsid w:val="291E637A"/>
    <w:rsid w:val="318E5199"/>
    <w:rsid w:val="34EE0929"/>
    <w:rsid w:val="37E16377"/>
    <w:rsid w:val="3A3519D9"/>
    <w:rsid w:val="3AFF37F2"/>
    <w:rsid w:val="3B242D65"/>
    <w:rsid w:val="3CB6276C"/>
    <w:rsid w:val="40CA6447"/>
    <w:rsid w:val="40FD6F6E"/>
    <w:rsid w:val="44671C86"/>
    <w:rsid w:val="44F55985"/>
    <w:rsid w:val="4BE7C2B2"/>
    <w:rsid w:val="51295509"/>
    <w:rsid w:val="519B457B"/>
    <w:rsid w:val="51ED1F1E"/>
    <w:rsid w:val="5DA86B8E"/>
    <w:rsid w:val="5E045FA0"/>
    <w:rsid w:val="609739F7"/>
    <w:rsid w:val="624C10C5"/>
    <w:rsid w:val="64005184"/>
    <w:rsid w:val="6BDD5180"/>
    <w:rsid w:val="6C836DA2"/>
    <w:rsid w:val="786F0B67"/>
    <w:rsid w:val="7BAF1590"/>
    <w:rsid w:val="7CEB3E71"/>
    <w:rsid w:val="7D6A1941"/>
    <w:rsid w:val="7F252D79"/>
    <w:rsid w:val="7FAD575F"/>
    <w:rsid w:val="9C6F2B2C"/>
    <w:rsid w:val="9CF73C45"/>
    <w:rsid w:val="BE3FD812"/>
    <w:rsid w:val="BEF65353"/>
    <w:rsid w:val="BF452C46"/>
    <w:rsid w:val="BFBB723E"/>
    <w:rsid w:val="D3E7CDC8"/>
    <w:rsid w:val="D6EBD35E"/>
    <w:rsid w:val="DEEE3861"/>
    <w:rsid w:val="DF39CED8"/>
    <w:rsid w:val="EF7D663F"/>
    <w:rsid w:val="F3FF3C59"/>
    <w:rsid w:val="F4CD25AC"/>
    <w:rsid w:val="F5F4ED45"/>
    <w:rsid w:val="F976021D"/>
    <w:rsid w:val="FBFE1B34"/>
    <w:rsid w:val="FDFFC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1177</Words>
  <Characters>1213</Characters>
  <Lines>5</Lines>
  <Paragraphs>1</Paragraphs>
  <TotalTime>23</TotalTime>
  <ScaleCrop>false</ScaleCrop>
  <LinksUpToDate>false</LinksUpToDate>
  <CharactersWithSpaces>1354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2018-01-17T22:37:00Z</dcterms:created>
  <dc:creator>SDWM</dc:creator>
  <cp:lastModifiedBy>Administrator</cp:lastModifiedBy>
  <cp:lastPrinted>2025-01-06T02:00:54Z</cp:lastPrinted>
  <dcterms:modified xsi:type="dcterms:W3CDTF">2025-01-09T01:11:56Z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